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A1C38">
      <w:pPr>
        <w:jc w:val="center"/>
        <w:rPr>
          <w:rFonts w:hint="default" w:ascii="Times New Roman" w:hAnsi="Times New Roman" w:eastAsia="宋体" w:cs="Times New Roman"/>
          <w:bCs/>
          <w:color w:val="auto"/>
          <w:kern w:val="0"/>
          <w:sz w:val="18"/>
          <w:szCs w:val="18"/>
          <w:highlight w:val="none"/>
        </w:rPr>
      </w:pPr>
      <w:bookmarkStart w:id="39" w:name="_GoBack"/>
      <w:bookmarkEnd w:id="39"/>
      <w:bookmarkStart w:id="0" w:name="_Toc19505"/>
      <w:bookmarkStart w:id="1" w:name="_Toc337717039"/>
      <w:bookmarkStart w:id="2" w:name="_Toc22460"/>
      <w:bookmarkStart w:id="3" w:name="_Toc270682273"/>
      <w:bookmarkStart w:id="4" w:name="_Toc395286770"/>
      <w:bookmarkStart w:id="5" w:name="_Toc16897"/>
      <w:bookmarkStart w:id="6" w:name="_Toc286672147"/>
      <w:bookmarkStart w:id="7" w:name="_Toc270682270"/>
      <w:bookmarkStart w:id="8" w:name="_Toc286669455"/>
      <w:r>
        <w:rPr>
          <w:color w:val="auto"/>
          <w:sz w:val="52"/>
          <w:szCs w:val="52"/>
          <w:highlight w:val="none"/>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color w:val="auto"/>
          <w:sz w:val="52"/>
          <w:szCs w:val="52"/>
          <w:highlight w:val="none"/>
        </w:rPr>
        <w:instrText xml:space="preserve">ADDIN CNKISM.UserStyle</w:instrText>
      </w:r>
      <w:r>
        <w:rPr>
          <w:color w:val="auto"/>
          <w:sz w:val="52"/>
          <w:szCs w:val="52"/>
          <w:highlight w:val="none"/>
        </w:rPr>
        <w:fldChar w:fldCharType="separate"/>
      </w:r>
      <w:r>
        <w:rPr>
          <w:color w:val="auto"/>
          <w:sz w:val="52"/>
          <w:szCs w:val="52"/>
          <w:highlight w:val="none"/>
        </w:rPr>
        <w:fldChar w:fldCharType="end"/>
      </w:r>
      <w:bookmarkEnd w:id="0"/>
      <w:bookmarkEnd w:id="1"/>
      <w:bookmarkEnd w:id="2"/>
      <w:bookmarkEnd w:id="3"/>
      <w:bookmarkEnd w:id="4"/>
      <w:bookmarkEnd w:id="5"/>
      <w:bookmarkEnd w:id="6"/>
      <w:bookmarkEnd w:id="7"/>
      <w:bookmarkEnd w:id="8"/>
      <w:bookmarkStart w:id="9" w:name="_Toc10017"/>
      <w:bookmarkStart w:id="10" w:name="_Toc337717041"/>
      <w:bookmarkStart w:id="11" w:name="_Toc434256179"/>
      <w:bookmarkStart w:id="12" w:name="_Toc211484057"/>
      <w:bookmarkStart w:id="13" w:name="_Toc31279"/>
      <w:bookmarkStart w:id="14" w:name="_Toc286672148"/>
      <w:bookmarkStart w:id="15" w:name="_Toc532551487"/>
      <w:bookmarkStart w:id="16" w:name="_Toc15143"/>
      <w:bookmarkStart w:id="17" w:name="_Toc27695"/>
      <w:bookmarkStart w:id="18" w:name="_Toc530752895"/>
      <w:bookmarkStart w:id="19" w:name="_Toc395286772"/>
      <w:bookmarkStart w:id="20" w:name="_Toc27283"/>
      <w:bookmarkStart w:id="21" w:name="_Toc6982"/>
      <w:bookmarkStart w:id="22" w:name="_Toc286669457"/>
      <w:bookmarkStart w:id="23" w:name="_Toc26909"/>
      <w:bookmarkStart w:id="24" w:name="_Toc24797"/>
      <w:bookmarkStart w:id="25" w:name="_Toc30243"/>
      <w:bookmarkStart w:id="26" w:name="_Toc18739"/>
      <w:bookmarkStart w:id="27" w:name="_Toc29618"/>
      <w:bookmarkStart w:id="28" w:name="_Toc286669449"/>
      <w:bookmarkStart w:id="29" w:name="_Toc26548365"/>
      <w:bookmarkStart w:id="30" w:name="_Toc24975183"/>
      <w:bookmarkStart w:id="31" w:name="_Toc4060"/>
      <w:bookmarkStart w:id="32" w:name="_Toc524639635"/>
      <w:bookmarkStart w:id="33" w:name="_Toc286672141"/>
      <w:bookmarkStart w:id="34" w:name="_Toc335397765"/>
      <w:bookmarkStart w:id="35" w:name="_Toc467592440"/>
      <w:bookmarkStart w:id="36" w:name="_Toc530752903"/>
      <w:bookmarkStart w:id="37" w:name="_Toc467595285"/>
      <w:bookmarkStart w:id="38" w:name="_Toc467594993"/>
      <w:r>
        <w:rPr>
          <w:rFonts w:hint="eastAsia" w:ascii="宋体" w:hAnsi="宋体" w:eastAsia="宋体" w:cs="宋体"/>
          <w:bCs/>
          <w:color w:val="auto"/>
          <w:kern w:val="0"/>
          <w:sz w:val="32"/>
          <w:szCs w:val="32"/>
          <w:highlight w:val="none"/>
        </w:rPr>
        <w:t>（二）国家高新区综合统计月报表</w:t>
      </w:r>
    </w:p>
    <w:tbl>
      <w:tblPr>
        <w:tblStyle w:val="34"/>
        <w:tblpPr w:leftFromText="180" w:rightFromText="180" w:vertAnchor="text" w:horzAnchor="page" w:tblpX="1502" w:tblpY="21"/>
        <w:tblOverlap w:val="never"/>
        <w:tblW w:w="0" w:type="auto"/>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600"/>
        <w:gridCol w:w="953"/>
        <w:gridCol w:w="1390"/>
        <w:gridCol w:w="1170"/>
        <w:gridCol w:w="2020"/>
      </w:tblGrid>
      <w:tr w14:paraId="62DE1943">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265" w:type="dxa"/>
            <w:gridSpan w:val="4"/>
            <w:tcBorders>
              <w:top w:val="nil"/>
              <w:left w:val="nil"/>
              <w:bottom w:val="nil"/>
              <w:right w:val="nil"/>
            </w:tcBorders>
            <w:noWrap w:val="0"/>
            <w:vAlign w:val="center"/>
          </w:tcPr>
          <w:p w14:paraId="4F312B76">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p>
        </w:tc>
        <w:tc>
          <w:tcPr>
            <w:tcW w:w="1170" w:type="dxa"/>
            <w:tcBorders>
              <w:top w:val="nil"/>
              <w:left w:val="nil"/>
              <w:bottom w:val="nil"/>
              <w:right w:val="nil"/>
            </w:tcBorders>
            <w:noWrap w:val="0"/>
            <w:vAlign w:val="center"/>
          </w:tcPr>
          <w:p w14:paraId="50A6C55D">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表号：</w:t>
            </w:r>
          </w:p>
        </w:tc>
        <w:tc>
          <w:tcPr>
            <w:tcW w:w="2020" w:type="dxa"/>
            <w:tcBorders>
              <w:top w:val="nil"/>
              <w:left w:val="nil"/>
              <w:bottom w:val="nil"/>
              <w:right w:val="nil"/>
            </w:tcBorders>
            <w:noWrap w:val="0"/>
            <w:vAlign w:val="center"/>
          </w:tcPr>
          <w:p w14:paraId="602F6BB2">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ＧＺＹＢ－０１表</w:t>
            </w:r>
          </w:p>
        </w:tc>
      </w:tr>
      <w:tr w14:paraId="60C41FA8">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265" w:type="dxa"/>
            <w:gridSpan w:val="4"/>
            <w:tcBorders>
              <w:top w:val="nil"/>
              <w:left w:val="nil"/>
              <w:bottom w:val="nil"/>
              <w:right w:val="nil"/>
            </w:tcBorders>
            <w:noWrap w:val="0"/>
            <w:vAlign w:val="center"/>
          </w:tcPr>
          <w:p w14:paraId="0FE75174">
            <w:pPr>
              <w:keepNext w:val="0"/>
              <w:keepLines w:val="0"/>
              <w:widowControl w:val="0"/>
              <w:suppressLineNumbers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shd w:val="clear" w:color="auto" w:fill="auto"/>
              </w:rPr>
            </w:pPr>
          </w:p>
        </w:tc>
        <w:tc>
          <w:tcPr>
            <w:tcW w:w="1170" w:type="dxa"/>
            <w:tcBorders>
              <w:top w:val="nil"/>
              <w:left w:val="nil"/>
              <w:bottom w:val="nil"/>
              <w:right w:val="nil"/>
            </w:tcBorders>
            <w:noWrap w:val="0"/>
            <w:vAlign w:val="center"/>
          </w:tcPr>
          <w:p w14:paraId="0B38E071">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制定机关：</w:t>
            </w:r>
          </w:p>
        </w:tc>
        <w:tc>
          <w:tcPr>
            <w:tcW w:w="2020" w:type="dxa"/>
            <w:tcBorders>
              <w:top w:val="nil"/>
              <w:left w:val="nil"/>
              <w:bottom w:val="nil"/>
              <w:right w:val="nil"/>
            </w:tcBorders>
            <w:noWrap w:val="0"/>
            <w:vAlign w:val="center"/>
          </w:tcPr>
          <w:p w14:paraId="534BC159">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工业和信息化部</w:t>
            </w:r>
          </w:p>
        </w:tc>
      </w:tr>
      <w:tr w14:paraId="1D38E603">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265" w:type="dxa"/>
            <w:gridSpan w:val="4"/>
            <w:tcBorders>
              <w:top w:val="nil"/>
              <w:left w:val="nil"/>
              <w:bottom w:val="nil"/>
              <w:right w:val="nil"/>
            </w:tcBorders>
            <w:noWrap w:val="0"/>
            <w:vAlign w:val="center"/>
          </w:tcPr>
          <w:p w14:paraId="37FBF0FD">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p>
        </w:tc>
        <w:tc>
          <w:tcPr>
            <w:tcW w:w="1170" w:type="dxa"/>
            <w:tcBorders>
              <w:top w:val="nil"/>
              <w:left w:val="nil"/>
              <w:bottom w:val="nil"/>
              <w:right w:val="nil"/>
            </w:tcBorders>
            <w:noWrap w:val="0"/>
            <w:vAlign w:val="center"/>
          </w:tcPr>
          <w:p w14:paraId="213EAC6D">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批准机关：</w:t>
            </w:r>
          </w:p>
        </w:tc>
        <w:tc>
          <w:tcPr>
            <w:tcW w:w="2020" w:type="dxa"/>
            <w:tcBorders>
              <w:top w:val="nil"/>
              <w:left w:val="nil"/>
              <w:bottom w:val="nil"/>
              <w:right w:val="nil"/>
            </w:tcBorders>
            <w:noWrap w:val="0"/>
            <w:vAlign w:val="center"/>
          </w:tcPr>
          <w:p w14:paraId="436BA137">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国家统计局</w:t>
            </w:r>
          </w:p>
        </w:tc>
      </w:tr>
      <w:tr w14:paraId="5C111886">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265" w:type="dxa"/>
            <w:gridSpan w:val="4"/>
            <w:tcBorders>
              <w:top w:val="nil"/>
              <w:left w:val="nil"/>
              <w:bottom w:val="nil"/>
              <w:right w:val="nil"/>
            </w:tcBorders>
            <w:noWrap w:val="0"/>
            <w:vAlign w:val="center"/>
          </w:tcPr>
          <w:p w14:paraId="397FF21A">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p>
        </w:tc>
        <w:tc>
          <w:tcPr>
            <w:tcW w:w="1170" w:type="dxa"/>
            <w:tcBorders>
              <w:top w:val="nil"/>
              <w:left w:val="nil"/>
              <w:bottom w:val="nil"/>
              <w:right w:val="nil"/>
            </w:tcBorders>
            <w:noWrap w:val="0"/>
            <w:vAlign w:val="center"/>
          </w:tcPr>
          <w:p w14:paraId="1997E8E9">
            <w:pPr>
              <w:pStyle w:val="139"/>
              <w:widowControl/>
              <w:autoSpaceDE w:val="0"/>
              <w:autoSpaceDN/>
              <w:adjustRightInd/>
              <w:spacing w:before="14" w:beforeAutospacing="0" w:line="240" w:lineRule="exact"/>
              <w:jc w:val="both"/>
              <w:rPr>
                <w:rFonts w:hint="default" w:ascii="Times New Roman" w:hAnsi="Times New Roman" w:eastAsia="宋体" w:cs="Times New Roman"/>
                <w:bCs/>
                <w:color w:val="auto"/>
                <w:kern w:val="0"/>
                <w:sz w:val="18"/>
                <w:szCs w:val="18"/>
                <w:highlight w:val="none"/>
                <w:shd w:val="clear" w:color="auto" w:fill="auto"/>
              </w:rPr>
            </w:pPr>
            <w:r>
              <w:rPr>
                <w:rFonts w:hint="eastAsia" w:ascii="宋体" w:hAnsi="宋体" w:eastAsia="宋体" w:cs="宋体"/>
                <w:bCs/>
                <w:color w:val="auto"/>
                <w:kern w:val="0"/>
                <w:sz w:val="18"/>
                <w:szCs w:val="18"/>
                <w:highlight w:val="none"/>
                <w:shd w:val="clear" w:color="auto" w:fill="auto"/>
              </w:rPr>
              <w:t>批准文号：</w:t>
            </w:r>
          </w:p>
        </w:tc>
        <w:tc>
          <w:tcPr>
            <w:tcW w:w="2020" w:type="dxa"/>
            <w:tcBorders>
              <w:top w:val="nil"/>
              <w:left w:val="nil"/>
              <w:bottom w:val="nil"/>
              <w:right w:val="nil"/>
            </w:tcBorders>
            <w:noWrap w:val="0"/>
            <w:vAlign w:val="center"/>
          </w:tcPr>
          <w:p w14:paraId="53720EF6">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国统制〔</w:t>
            </w:r>
            <w:r>
              <w:rPr>
                <w:rFonts w:hint="default" w:ascii="Times New Roman" w:hAnsi="Times New Roman" w:eastAsia="宋体" w:cs="Times New Roman"/>
                <w:bCs/>
                <w:color w:val="auto"/>
                <w:kern w:val="2"/>
                <w:sz w:val="18"/>
                <w:szCs w:val="18"/>
                <w:highlight w:val="none"/>
                <w:shd w:val="clear" w:color="auto" w:fill="auto"/>
                <w:lang w:val="en-US" w:eastAsia="zh-CN" w:bidi="ar"/>
              </w:rPr>
              <w:t>202</w:t>
            </w:r>
            <w:r>
              <w:rPr>
                <w:rFonts w:hint="eastAsia" w:ascii="Times New Roman" w:hAnsi="Times New Roman" w:eastAsia="宋体" w:cs="Times New Roman"/>
                <w:bCs/>
                <w:color w:val="auto"/>
                <w:kern w:val="2"/>
                <w:sz w:val="18"/>
                <w:szCs w:val="18"/>
                <w:highlight w:val="none"/>
                <w:shd w:val="clear" w:color="auto" w:fill="auto"/>
                <w:lang w:val="en-US" w:eastAsia="zh-CN" w:bidi="ar"/>
              </w:rPr>
              <w:t>4</w:t>
            </w:r>
            <w:r>
              <w:rPr>
                <w:rFonts w:hint="eastAsia" w:ascii="宋体" w:hAnsi="宋体" w:eastAsia="宋体" w:cs="宋体"/>
                <w:bCs/>
                <w:color w:val="auto"/>
                <w:kern w:val="2"/>
                <w:sz w:val="18"/>
                <w:szCs w:val="18"/>
                <w:highlight w:val="none"/>
                <w:shd w:val="clear" w:color="auto" w:fill="auto"/>
                <w:lang w:val="en-US" w:eastAsia="zh-CN" w:bidi="ar"/>
              </w:rPr>
              <w:t>〕</w:t>
            </w:r>
            <w:r>
              <w:rPr>
                <w:rFonts w:hint="eastAsia" w:ascii="Times New Roman" w:hAnsi="Times New Roman" w:eastAsia="宋体" w:cs="Times New Roman"/>
                <w:bCs/>
                <w:color w:val="auto"/>
                <w:kern w:val="2"/>
                <w:sz w:val="18"/>
                <w:szCs w:val="18"/>
                <w:highlight w:val="none"/>
                <w:shd w:val="clear" w:color="auto" w:fill="auto"/>
                <w:lang w:val="en-US" w:eastAsia="zh-CN" w:bidi="ar"/>
              </w:rPr>
              <w:t>187</w:t>
            </w:r>
            <w:r>
              <w:rPr>
                <w:rFonts w:hint="eastAsia" w:ascii="宋体" w:hAnsi="宋体" w:eastAsia="宋体" w:cs="宋体"/>
                <w:bCs/>
                <w:color w:val="auto"/>
                <w:kern w:val="2"/>
                <w:sz w:val="18"/>
                <w:szCs w:val="18"/>
                <w:highlight w:val="none"/>
                <w:shd w:val="clear" w:color="auto" w:fill="auto"/>
                <w:lang w:val="en-US" w:eastAsia="zh-CN" w:bidi="ar"/>
              </w:rPr>
              <w:t>号</w:t>
            </w:r>
          </w:p>
        </w:tc>
      </w:tr>
      <w:tr w14:paraId="02DCCAC1">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3322" w:type="dxa"/>
            <w:tcBorders>
              <w:top w:val="nil"/>
              <w:left w:val="nil"/>
              <w:bottom w:val="single" w:color="auto" w:sz="8" w:space="0"/>
              <w:right w:val="nil"/>
            </w:tcBorders>
            <w:noWrap w:val="0"/>
            <w:vAlign w:val="center"/>
          </w:tcPr>
          <w:p w14:paraId="44088F9E">
            <w:pPr>
              <w:keepNext w:val="0"/>
              <w:keepLines w:val="0"/>
              <w:widowControl/>
              <w:suppressLineNumbers w:val="0"/>
              <w:spacing w:before="0" w:beforeAutospacing="0" w:after="0" w:afterAutospacing="0" w:line="240" w:lineRule="exact"/>
              <w:ind w:left="0" w:right="0"/>
              <w:jc w:val="left"/>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综合机关名称：</w:t>
            </w:r>
          </w:p>
        </w:tc>
        <w:tc>
          <w:tcPr>
            <w:tcW w:w="2943" w:type="dxa"/>
            <w:gridSpan w:val="3"/>
            <w:tcBorders>
              <w:top w:val="nil"/>
              <w:left w:val="nil"/>
              <w:bottom w:val="single" w:color="auto" w:sz="8" w:space="0"/>
              <w:right w:val="nil"/>
            </w:tcBorders>
            <w:noWrap w:val="0"/>
            <w:vAlign w:val="center"/>
          </w:tcPr>
          <w:p w14:paraId="0EBFDD3B">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２０</w:t>
            </w:r>
            <w:r>
              <w:rPr>
                <w:rFonts w:hint="default" w:ascii="Times New Roman" w:hAnsi="Times New Roman" w:eastAsia="宋体" w:cs="Times New Roman"/>
                <w:bCs/>
                <w:color w:val="auto"/>
                <w:kern w:val="2"/>
                <w:sz w:val="18"/>
                <w:szCs w:val="18"/>
                <w:highlight w:val="none"/>
                <w:u w:val="single"/>
                <w:shd w:val="clear" w:color="auto" w:fill="auto"/>
                <w:lang w:val="en-US" w:eastAsia="zh-CN" w:bidi="ar"/>
              </w:rPr>
              <w:t xml:space="preserve">    </w:t>
            </w:r>
            <w:r>
              <w:rPr>
                <w:rFonts w:hint="eastAsia" w:ascii="宋体" w:hAnsi="宋体" w:eastAsia="宋体" w:cs="宋体"/>
                <w:bCs/>
                <w:color w:val="auto"/>
                <w:kern w:val="2"/>
                <w:sz w:val="18"/>
                <w:szCs w:val="18"/>
                <w:highlight w:val="none"/>
                <w:shd w:val="clear" w:color="auto" w:fill="auto"/>
                <w:lang w:val="en-US" w:eastAsia="zh-CN" w:bidi="ar"/>
              </w:rPr>
              <w:t>年</w:t>
            </w:r>
            <w:r>
              <w:rPr>
                <w:rFonts w:hint="default" w:ascii="Times New Roman" w:hAnsi="Times New Roman" w:eastAsia="宋体" w:cs="Times New Roman"/>
                <w:bCs/>
                <w:color w:val="auto"/>
                <w:kern w:val="2"/>
                <w:sz w:val="18"/>
                <w:szCs w:val="18"/>
                <w:highlight w:val="none"/>
                <w:u w:val="single"/>
                <w:shd w:val="clear" w:color="auto" w:fill="auto"/>
                <w:lang w:val="en-US" w:eastAsia="zh-CN" w:bidi="ar"/>
              </w:rPr>
              <w:t xml:space="preserve">  </w:t>
            </w:r>
            <w:r>
              <w:rPr>
                <w:rFonts w:hint="eastAsia" w:ascii="宋体" w:hAnsi="宋体" w:eastAsia="宋体" w:cs="宋体"/>
                <w:bCs/>
                <w:color w:val="auto"/>
                <w:kern w:val="2"/>
                <w:sz w:val="18"/>
                <w:szCs w:val="18"/>
                <w:highlight w:val="none"/>
                <w:shd w:val="clear" w:color="auto" w:fill="auto"/>
                <w:lang w:val="en-US" w:eastAsia="zh-CN" w:bidi="ar"/>
              </w:rPr>
              <w:t>月</w:t>
            </w:r>
          </w:p>
        </w:tc>
        <w:tc>
          <w:tcPr>
            <w:tcW w:w="1170" w:type="dxa"/>
            <w:tcBorders>
              <w:top w:val="nil"/>
              <w:left w:val="nil"/>
              <w:bottom w:val="single" w:color="auto" w:sz="8" w:space="0"/>
              <w:right w:val="nil"/>
            </w:tcBorders>
            <w:noWrap w:val="0"/>
            <w:vAlign w:val="center"/>
          </w:tcPr>
          <w:p w14:paraId="0A0D9DEA">
            <w:pPr>
              <w:keepNext w:val="0"/>
              <w:keepLines w:val="0"/>
              <w:widowControl w:val="0"/>
              <w:suppressLineNumbers w:val="0"/>
              <w:snapToGrid w:val="0"/>
              <w:spacing w:before="0" w:beforeAutospacing="0" w:after="0" w:afterAutospacing="0" w:line="24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有效期至：</w:t>
            </w:r>
          </w:p>
        </w:tc>
        <w:tc>
          <w:tcPr>
            <w:tcW w:w="2020" w:type="dxa"/>
            <w:tcBorders>
              <w:top w:val="nil"/>
              <w:left w:val="nil"/>
              <w:bottom w:val="single" w:color="auto" w:sz="8" w:space="0"/>
              <w:right w:val="nil"/>
            </w:tcBorders>
            <w:noWrap w:val="0"/>
            <w:vAlign w:val="center"/>
          </w:tcPr>
          <w:p w14:paraId="6411988E">
            <w:pPr>
              <w:keepNext w:val="0"/>
              <w:keepLines w:val="0"/>
              <w:widowControl w:val="0"/>
              <w:suppressLineNumbers w:val="0"/>
              <w:spacing w:before="0" w:beforeAutospacing="0" w:after="0" w:afterAutospacing="0" w:line="240" w:lineRule="exact"/>
              <w:ind w:left="0" w:right="0"/>
              <w:jc w:val="right"/>
              <w:rPr>
                <w:rFonts w:hint="default" w:ascii="Times New Roman" w:hAnsi="Times New Roman" w:eastAsia="宋体" w:cs="Times New Roman"/>
                <w:bCs/>
                <w:color w:val="auto"/>
                <w:kern w:val="2"/>
                <w:sz w:val="18"/>
                <w:szCs w:val="18"/>
                <w:highlight w:val="none"/>
                <w:shd w:val="clear" w:color="auto" w:fill="auto"/>
              </w:rPr>
            </w:pPr>
            <w:r>
              <w:rPr>
                <w:rFonts w:hint="default" w:ascii="Times New Roman" w:hAnsi="Times New Roman" w:eastAsia="宋体" w:cs="Times New Roman"/>
                <w:bCs/>
                <w:color w:val="auto"/>
                <w:kern w:val="2"/>
                <w:sz w:val="18"/>
                <w:szCs w:val="18"/>
                <w:highlight w:val="none"/>
                <w:shd w:val="clear" w:color="auto" w:fill="auto"/>
                <w:lang w:val="en-US" w:eastAsia="zh-CN" w:bidi="ar"/>
              </w:rPr>
              <w:t>2027</w:t>
            </w:r>
            <w:r>
              <w:rPr>
                <w:rFonts w:hint="eastAsia" w:ascii="宋体" w:hAnsi="宋体" w:eastAsia="宋体" w:cs="宋体"/>
                <w:bCs/>
                <w:color w:val="auto"/>
                <w:kern w:val="2"/>
                <w:sz w:val="18"/>
                <w:szCs w:val="18"/>
                <w:highlight w:val="none"/>
                <w:shd w:val="clear" w:color="auto" w:fill="auto"/>
                <w:lang w:val="en-US" w:eastAsia="zh-CN" w:bidi="ar"/>
              </w:rPr>
              <w:t>年</w:t>
            </w:r>
            <w:r>
              <w:rPr>
                <w:rFonts w:hint="default" w:ascii="Times New Roman" w:hAnsi="Times New Roman" w:eastAsia="宋体" w:cs="Times New Roman"/>
                <w:bCs/>
                <w:color w:val="auto"/>
                <w:kern w:val="2"/>
                <w:sz w:val="18"/>
                <w:szCs w:val="18"/>
                <w:highlight w:val="none"/>
                <w:shd w:val="clear" w:color="auto" w:fill="auto"/>
                <w:lang w:val="en-US" w:eastAsia="zh-CN" w:bidi="ar"/>
              </w:rPr>
              <w:t>12</w:t>
            </w:r>
            <w:r>
              <w:rPr>
                <w:rFonts w:hint="eastAsia" w:ascii="宋体" w:hAnsi="宋体" w:eastAsia="宋体" w:cs="宋体"/>
                <w:bCs/>
                <w:color w:val="auto"/>
                <w:kern w:val="2"/>
                <w:sz w:val="18"/>
                <w:szCs w:val="18"/>
                <w:highlight w:val="none"/>
                <w:shd w:val="clear" w:color="auto" w:fill="auto"/>
                <w:lang w:val="en-US" w:eastAsia="zh-CN" w:bidi="ar"/>
              </w:rPr>
              <w:t>月</w:t>
            </w:r>
          </w:p>
        </w:tc>
      </w:tr>
      <w:tr w14:paraId="535095B5">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1C831D59">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指标名称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1ED16F2">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计量单位</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08F74A24">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代码</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021BEA63">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bCs/>
                <w:color w:val="auto"/>
                <w:kern w:val="2"/>
                <w:sz w:val="18"/>
                <w:szCs w:val="18"/>
                <w:highlight w:val="none"/>
                <w:shd w:val="clear" w:color="auto" w:fill="auto"/>
                <w:lang w:bidi="ar"/>
              </w:rPr>
            </w:pPr>
            <w:r>
              <w:rPr>
                <w:rFonts w:hint="eastAsia" w:ascii="宋体" w:hAnsi="宋体" w:eastAsia="宋体" w:cs="宋体"/>
                <w:bCs/>
                <w:color w:val="auto"/>
                <w:kern w:val="2"/>
                <w:sz w:val="18"/>
                <w:szCs w:val="18"/>
                <w:highlight w:val="none"/>
                <w:shd w:val="clear" w:color="auto" w:fill="auto"/>
                <w:lang w:val="en-US" w:eastAsia="zh-CN" w:bidi="ar"/>
              </w:rPr>
              <w:t>本月数</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47195804">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代码</w:t>
            </w:r>
          </w:p>
        </w:tc>
        <w:tc>
          <w:tcPr>
            <w:tcW w:w="2020" w:type="dxa"/>
            <w:tcBorders>
              <w:top w:val="single" w:color="auto" w:sz="4" w:space="0"/>
              <w:left w:val="single" w:color="auto" w:sz="4" w:space="0"/>
              <w:bottom w:val="single" w:color="auto" w:sz="4" w:space="0"/>
              <w:right w:val="nil"/>
            </w:tcBorders>
            <w:noWrap w:val="0"/>
            <w:vAlign w:val="center"/>
          </w:tcPr>
          <w:p w14:paraId="2DF8BA78">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1-本月累计</w:t>
            </w:r>
          </w:p>
        </w:tc>
      </w:tr>
      <w:tr w14:paraId="74FEA236">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B800719">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甲</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799CB03">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乙</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67D76D6">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丙</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2F82AD26">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default" w:ascii="Times New Roman" w:hAnsi="Times New Roman" w:eastAsia="宋体" w:cs="Times New Roman"/>
                <w:bCs/>
                <w:color w:val="auto"/>
                <w:kern w:val="2"/>
                <w:sz w:val="18"/>
                <w:szCs w:val="18"/>
                <w:highlight w:val="none"/>
                <w:shd w:val="clear" w:color="auto" w:fill="auto"/>
                <w:lang w:val="en-US" w:eastAsia="zh-CN" w:bidi="ar"/>
              </w:rPr>
              <w:t>1</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24BCBF5A">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丙</w:t>
            </w:r>
          </w:p>
        </w:tc>
        <w:tc>
          <w:tcPr>
            <w:tcW w:w="2020" w:type="dxa"/>
            <w:tcBorders>
              <w:top w:val="single" w:color="auto" w:sz="4" w:space="0"/>
              <w:left w:val="single" w:color="auto" w:sz="4" w:space="0"/>
              <w:bottom w:val="single" w:color="auto" w:sz="4" w:space="0"/>
              <w:right w:val="nil"/>
            </w:tcBorders>
            <w:noWrap w:val="0"/>
            <w:vAlign w:val="center"/>
          </w:tcPr>
          <w:p w14:paraId="5F8CF9B6">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default" w:ascii="Times New Roman" w:hAnsi="Times New Roman" w:eastAsia="宋体" w:cs="Times New Roman"/>
                <w:bCs/>
                <w:color w:val="auto"/>
                <w:kern w:val="2"/>
                <w:sz w:val="18"/>
                <w:szCs w:val="18"/>
                <w:highlight w:val="none"/>
                <w:shd w:val="clear" w:color="auto" w:fill="auto"/>
                <w:lang w:val="en-US" w:eastAsia="zh-CN" w:bidi="ar"/>
              </w:rPr>
              <w:t>2</w:t>
            </w:r>
          </w:p>
        </w:tc>
      </w:tr>
      <w:tr w14:paraId="5C8B84DB">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18B020D">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
                <w:bCs w:val="0"/>
                <w:color w:val="auto"/>
                <w:kern w:val="2"/>
                <w:sz w:val="18"/>
                <w:szCs w:val="18"/>
                <w:highlight w:val="none"/>
                <w:shd w:val="clear" w:color="auto" w:fill="auto"/>
              </w:rPr>
            </w:pPr>
            <w:r>
              <w:rPr>
                <w:rFonts w:hint="eastAsia" w:ascii="宋体" w:hAnsi="宋体" w:eastAsia="宋体" w:cs="宋体"/>
                <w:b/>
                <w:bCs w:val="0"/>
                <w:color w:val="auto"/>
                <w:kern w:val="2"/>
                <w:sz w:val="18"/>
                <w:szCs w:val="18"/>
                <w:highlight w:val="none"/>
                <w:shd w:val="clear" w:color="auto" w:fill="auto"/>
                <w:lang w:val="en-US" w:eastAsia="zh-CN" w:bidi="ar"/>
              </w:rPr>
              <w:t>一、火炬统计口径企业情况</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A3D31BE">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7CB11A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595FF86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2412883B">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2020" w:type="dxa"/>
            <w:tcBorders>
              <w:top w:val="single" w:color="auto" w:sz="4" w:space="0"/>
              <w:left w:val="single" w:color="auto" w:sz="4" w:space="0"/>
              <w:bottom w:val="single" w:color="auto" w:sz="4" w:space="0"/>
              <w:right w:val="nil"/>
            </w:tcBorders>
            <w:noWrap w:val="0"/>
            <w:vAlign w:val="center"/>
          </w:tcPr>
          <w:p w14:paraId="3E0F185A">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r>
      <w:tr w14:paraId="5399ABF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5C95F452">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火炬统计企业数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F430353">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bCs/>
                <w:color w:val="auto"/>
                <w:sz w:val="18"/>
                <w:szCs w:val="18"/>
                <w:highlight w:val="none"/>
                <w:shd w:val="clear" w:color="auto" w:fill="auto"/>
              </w:rPr>
              <w:t>个</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25359E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GK117</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5F164B6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7E899C2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2020" w:type="dxa"/>
            <w:tcBorders>
              <w:top w:val="single" w:color="auto" w:sz="4" w:space="0"/>
              <w:left w:val="single" w:color="auto" w:sz="4" w:space="0"/>
              <w:bottom w:val="single" w:color="auto" w:sz="4" w:space="0"/>
              <w:right w:val="nil"/>
            </w:tcBorders>
            <w:noWrap w:val="0"/>
            <w:vAlign w:val="center"/>
          </w:tcPr>
          <w:p w14:paraId="5D5BB44C">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r>
      <w:tr w14:paraId="2E4FB2B0">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49B21DEF">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工业总产值</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7E56F01">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1C5A154D">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GK101</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7F1D6E9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8F81ACD">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GK201</w:t>
            </w:r>
          </w:p>
        </w:tc>
        <w:tc>
          <w:tcPr>
            <w:tcW w:w="2020" w:type="dxa"/>
            <w:tcBorders>
              <w:top w:val="single" w:color="auto" w:sz="4" w:space="0"/>
              <w:left w:val="single" w:color="auto" w:sz="4" w:space="0"/>
              <w:bottom w:val="single" w:color="auto" w:sz="4" w:space="0"/>
              <w:right w:val="nil"/>
            </w:tcBorders>
            <w:noWrap w:val="0"/>
            <w:vAlign w:val="top"/>
          </w:tcPr>
          <w:p w14:paraId="164E9DC2">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24DF28A9">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3373B7A9">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营业收入合计</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619D33C8">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27186CD5">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GK105</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145C063D">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48E45C56">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GK205</w:t>
            </w:r>
          </w:p>
        </w:tc>
        <w:tc>
          <w:tcPr>
            <w:tcW w:w="2020" w:type="dxa"/>
            <w:tcBorders>
              <w:top w:val="single" w:color="auto" w:sz="4" w:space="0"/>
              <w:left w:val="single" w:color="auto" w:sz="4" w:space="0"/>
              <w:bottom w:val="single" w:color="auto" w:sz="4" w:space="0"/>
              <w:right w:val="nil"/>
            </w:tcBorders>
            <w:noWrap w:val="0"/>
            <w:vAlign w:val="top"/>
          </w:tcPr>
          <w:p w14:paraId="71BABDA4">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41CBD3C2">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DF0A58C">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出口总额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23FFB358">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1EA8659D">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GK108</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1A4A5A22">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11904B5">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GK208</w:t>
            </w:r>
          </w:p>
        </w:tc>
        <w:tc>
          <w:tcPr>
            <w:tcW w:w="2020" w:type="dxa"/>
            <w:tcBorders>
              <w:top w:val="single" w:color="auto" w:sz="4" w:space="0"/>
              <w:left w:val="single" w:color="auto" w:sz="4" w:space="0"/>
              <w:bottom w:val="single" w:color="auto" w:sz="4" w:space="0"/>
              <w:right w:val="nil"/>
            </w:tcBorders>
            <w:noWrap w:val="0"/>
            <w:vAlign w:val="top"/>
          </w:tcPr>
          <w:p w14:paraId="025D79A1">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0EE30B0D">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499F2C33">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利润总额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36F6A72B">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3D3AAD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GK113</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1E513496">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44CEEE84">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GK213</w:t>
            </w:r>
          </w:p>
        </w:tc>
        <w:tc>
          <w:tcPr>
            <w:tcW w:w="2020" w:type="dxa"/>
            <w:tcBorders>
              <w:top w:val="single" w:color="auto" w:sz="4" w:space="0"/>
              <w:left w:val="single" w:color="auto" w:sz="4" w:space="0"/>
              <w:bottom w:val="single" w:color="auto" w:sz="4" w:space="0"/>
              <w:right w:val="nil"/>
            </w:tcBorders>
            <w:noWrap w:val="0"/>
            <w:vAlign w:val="top"/>
          </w:tcPr>
          <w:p w14:paraId="27FC8BDE">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4542C33A">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3F4B01D0">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净利润</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0DD59FBF">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586641A6">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GK110</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1F12BDCF">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49B31ABF">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GK210</w:t>
            </w:r>
          </w:p>
        </w:tc>
        <w:tc>
          <w:tcPr>
            <w:tcW w:w="2020" w:type="dxa"/>
            <w:tcBorders>
              <w:top w:val="single" w:color="auto" w:sz="4" w:space="0"/>
              <w:left w:val="single" w:color="auto" w:sz="4" w:space="0"/>
              <w:bottom w:val="single" w:color="auto" w:sz="4" w:space="0"/>
              <w:right w:val="nil"/>
            </w:tcBorders>
            <w:noWrap w:val="0"/>
            <w:vAlign w:val="top"/>
          </w:tcPr>
          <w:p w14:paraId="000D2858">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5195C02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3670C8F9">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实际上缴税费总额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614D9B31">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66D0CEBF">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GK112</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2E490D8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0579062C">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GK212</w:t>
            </w:r>
          </w:p>
        </w:tc>
        <w:tc>
          <w:tcPr>
            <w:tcW w:w="2020" w:type="dxa"/>
            <w:tcBorders>
              <w:top w:val="single" w:color="auto" w:sz="4" w:space="0"/>
              <w:left w:val="single" w:color="auto" w:sz="4" w:space="0"/>
              <w:bottom w:val="single" w:color="auto" w:sz="4" w:space="0"/>
              <w:right w:val="nil"/>
            </w:tcBorders>
            <w:noWrap w:val="0"/>
            <w:vAlign w:val="top"/>
          </w:tcPr>
          <w:p w14:paraId="46BFEA04">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27CB82DF">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249CA083">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
                <w:bCs w:val="0"/>
                <w:color w:val="auto"/>
                <w:kern w:val="2"/>
                <w:sz w:val="18"/>
                <w:szCs w:val="18"/>
                <w:highlight w:val="none"/>
                <w:shd w:val="clear" w:color="auto" w:fill="auto"/>
              </w:rPr>
            </w:pPr>
            <w:r>
              <w:rPr>
                <w:rFonts w:hint="eastAsia" w:ascii="宋体" w:hAnsi="宋体" w:eastAsia="宋体" w:cs="宋体"/>
                <w:b/>
                <w:bCs w:val="0"/>
                <w:color w:val="auto"/>
                <w:kern w:val="2"/>
                <w:sz w:val="18"/>
                <w:szCs w:val="18"/>
                <w:highlight w:val="none"/>
                <w:shd w:val="clear" w:color="auto" w:fill="auto"/>
                <w:lang w:val="en-US" w:eastAsia="zh-CN" w:bidi="ar"/>
              </w:rPr>
              <w:t>二、高新区全口径指标数据</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74B0321B">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21"/>
                <w:szCs w:val="21"/>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69E25A3">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79E824B4">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09DA4BB">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2020" w:type="dxa"/>
            <w:tcBorders>
              <w:top w:val="single" w:color="auto" w:sz="4" w:space="0"/>
              <w:left w:val="single" w:color="auto" w:sz="4" w:space="0"/>
              <w:bottom w:val="single" w:color="auto" w:sz="4" w:space="0"/>
              <w:right w:val="nil"/>
            </w:tcBorders>
            <w:noWrap w:val="0"/>
            <w:vAlign w:val="center"/>
          </w:tcPr>
          <w:p w14:paraId="212DC9D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r>
      <w:tr w14:paraId="15A0B0D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022C2A9">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规模以上工业企业数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00128E49">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bCs/>
                <w:color w:val="auto"/>
                <w:sz w:val="18"/>
                <w:szCs w:val="18"/>
                <w:highlight w:val="none"/>
                <w:shd w:val="clear" w:color="auto" w:fill="auto"/>
              </w:rPr>
              <w:t>个</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5D43D7DA">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SA"/>
              </w:rPr>
              <w:t>GK120</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41B713E5">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30905C4E">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GK220</w:t>
            </w:r>
          </w:p>
        </w:tc>
        <w:tc>
          <w:tcPr>
            <w:tcW w:w="2020" w:type="dxa"/>
            <w:tcBorders>
              <w:top w:val="single" w:color="auto" w:sz="4" w:space="0"/>
              <w:left w:val="single" w:color="auto" w:sz="4" w:space="0"/>
              <w:bottom w:val="single" w:color="auto" w:sz="4" w:space="0"/>
              <w:right w:val="nil"/>
            </w:tcBorders>
            <w:noWrap w:val="0"/>
            <w:vAlign w:val="center"/>
          </w:tcPr>
          <w:p w14:paraId="110B461F">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7CAB34A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79BDC42F">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工业销售产值</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3D2D9857">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cs="Times New Roman"/>
                <w:bCs/>
                <w:color w:val="auto"/>
                <w:kern w:val="2"/>
                <w:sz w:val="18"/>
                <w:szCs w:val="18"/>
                <w:highlight w:val="none"/>
                <w:shd w:val="clear" w:color="auto" w:fill="auto"/>
                <w:lang w:val="en-US" w:eastAsia="zh-CN"/>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03EBF87B">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SA"/>
              </w:rPr>
              <w:t>GK121</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2C5B3F79">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10A2664F">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GK221</w:t>
            </w:r>
          </w:p>
        </w:tc>
        <w:tc>
          <w:tcPr>
            <w:tcW w:w="2020" w:type="dxa"/>
            <w:tcBorders>
              <w:top w:val="single" w:color="auto" w:sz="4" w:space="0"/>
              <w:left w:val="single" w:color="auto" w:sz="4" w:space="0"/>
              <w:bottom w:val="single" w:color="auto" w:sz="4" w:space="0"/>
              <w:right w:val="nil"/>
            </w:tcBorders>
            <w:noWrap w:val="0"/>
            <w:vAlign w:val="center"/>
          </w:tcPr>
          <w:p w14:paraId="45C3C994">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108C5C0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0D64E529">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综合能源消费量</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3630E99D">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cs="Times New Roman"/>
                <w:bCs/>
                <w:color w:val="auto"/>
                <w:kern w:val="2"/>
                <w:sz w:val="18"/>
                <w:szCs w:val="18"/>
                <w:highlight w:val="none"/>
                <w:shd w:val="clear" w:color="auto" w:fill="auto"/>
                <w:lang w:val="en-US" w:eastAsia="zh-CN"/>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2B710057">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SA"/>
              </w:rPr>
              <w:t>GK123</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78D9FE5C">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372A75BF">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GK223</w:t>
            </w:r>
          </w:p>
        </w:tc>
        <w:tc>
          <w:tcPr>
            <w:tcW w:w="2020" w:type="dxa"/>
            <w:tcBorders>
              <w:top w:val="single" w:color="auto" w:sz="4" w:space="0"/>
              <w:left w:val="single" w:color="auto" w:sz="4" w:space="0"/>
              <w:bottom w:val="single" w:color="auto" w:sz="4" w:space="0"/>
              <w:right w:val="nil"/>
            </w:tcBorders>
            <w:noWrap w:val="0"/>
            <w:vAlign w:val="center"/>
          </w:tcPr>
          <w:p w14:paraId="09FAC127">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39F4159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CDCBCE7">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工业生产电力消费</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F2841F2">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cs="Times New Roman"/>
                <w:bCs/>
                <w:color w:val="auto"/>
                <w:kern w:val="2"/>
                <w:sz w:val="18"/>
                <w:szCs w:val="18"/>
                <w:highlight w:val="none"/>
                <w:shd w:val="clear" w:color="auto" w:fill="auto"/>
                <w:lang w:val="en-US" w:eastAsia="zh-CN"/>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7349739D">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SA"/>
              </w:rPr>
              <w:t>GK124</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533112FE">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1E61ABAA">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GK224</w:t>
            </w:r>
          </w:p>
        </w:tc>
        <w:tc>
          <w:tcPr>
            <w:tcW w:w="2020" w:type="dxa"/>
            <w:tcBorders>
              <w:top w:val="single" w:color="auto" w:sz="4" w:space="0"/>
              <w:left w:val="single" w:color="auto" w:sz="4" w:space="0"/>
              <w:bottom w:val="single" w:color="auto" w:sz="4" w:space="0"/>
              <w:right w:val="nil"/>
            </w:tcBorders>
            <w:noWrap w:val="0"/>
            <w:vAlign w:val="center"/>
          </w:tcPr>
          <w:p w14:paraId="56D3C2E1">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3BA24F4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58DE474C">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工业固定资产投资</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6CBABB3">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cs="Times New Roman"/>
                <w:bCs/>
                <w:color w:val="auto"/>
                <w:kern w:val="2"/>
                <w:sz w:val="18"/>
                <w:szCs w:val="18"/>
                <w:highlight w:val="none"/>
                <w:shd w:val="clear" w:color="auto" w:fill="auto"/>
                <w:lang w:val="en-US" w:eastAsia="zh-CN"/>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712C73D2">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SA"/>
              </w:rPr>
              <w:t>GK125</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54F70E49">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06B8EEA4">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GK225</w:t>
            </w:r>
          </w:p>
        </w:tc>
        <w:tc>
          <w:tcPr>
            <w:tcW w:w="2020" w:type="dxa"/>
            <w:tcBorders>
              <w:top w:val="single" w:color="auto" w:sz="4" w:space="0"/>
              <w:left w:val="single" w:color="auto" w:sz="4" w:space="0"/>
              <w:bottom w:val="single" w:color="auto" w:sz="4" w:space="0"/>
              <w:right w:val="nil"/>
            </w:tcBorders>
            <w:noWrap w:val="0"/>
            <w:vAlign w:val="center"/>
          </w:tcPr>
          <w:p w14:paraId="3623B8B4">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0296C829">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9CDF982">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bCs/>
                <w:color w:val="auto"/>
                <w:sz w:val="18"/>
                <w:szCs w:val="18"/>
                <w:highlight w:val="none"/>
                <w:shd w:val="clear" w:color="auto" w:fill="auto"/>
              </w:rPr>
              <w:t>高新区园区生产总值（GDP）（全口径）</w:t>
            </w:r>
            <w:r>
              <w:rPr>
                <w:rFonts w:hint="eastAsia" w:ascii="宋体" w:hAnsi="宋体" w:eastAsia="宋体" w:cs="宋体"/>
                <w:bCs/>
                <w:color w:val="auto"/>
                <w:kern w:val="2"/>
                <w:sz w:val="18"/>
                <w:szCs w:val="18"/>
                <w:highlight w:val="none"/>
                <w:shd w:val="clear" w:color="auto" w:fill="auto"/>
                <w:lang w:val="en-US" w:eastAsia="zh-CN" w:bidi="ar"/>
              </w:rPr>
              <w:t>（仅第</w:t>
            </w:r>
            <w:r>
              <w:rPr>
                <w:rFonts w:hint="default" w:ascii="Times New Roman" w:hAnsi="Times New Roman" w:eastAsia="宋体" w:cs="Times New Roman"/>
                <w:bCs/>
                <w:color w:val="auto"/>
                <w:kern w:val="2"/>
                <w:sz w:val="18"/>
                <w:szCs w:val="18"/>
                <w:highlight w:val="none"/>
                <w:shd w:val="clear" w:color="auto" w:fill="auto"/>
                <w:lang w:val="en-US" w:eastAsia="zh-CN" w:bidi="ar"/>
              </w:rPr>
              <w:t>3/6/9</w:t>
            </w:r>
            <w:r>
              <w:rPr>
                <w:rFonts w:hint="eastAsia" w:ascii="宋体" w:hAnsi="宋体" w:eastAsia="宋体" w:cs="宋体"/>
                <w:bCs/>
                <w:color w:val="auto"/>
                <w:kern w:val="2"/>
                <w:sz w:val="18"/>
                <w:szCs w:val="18"/>
                <w:highlight w:val="none"/>
                <w:shd w:val="clear" w:color="auto" w:fill="auto"/>
                <w:lang w:val="en-US" w:eastAsia="zh-CN" w:bidi="ar"/>
              </w:rPr>
              <w:t>月填报本月止累计数）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94C7B7F">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5F87B0A4">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7A6AC58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24C52E51">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GKGDP2</w:t>
            </w:r>
          </w:p>
        </w:tc>
        <w:tc>
          <w:tcPr>
            <w:tcW w:w="2020" w:type="dxa"/>
            <w:tcBorders>
              <w:top w:val="single" w:color="auto" w:sz="4" w:space="0"/>
              <w:left w:val="single" w:color="auto" w:sz="4" w:space="0"/>
              <w:bottom w:val="single" w:color="auto" w:sz="4" w:space="0"/>
              <w:right w:val="nil"/>
            </w:tcBorders>
            <w:noWrap w:val="0"/>
            <w:vAlign w:val="center"/>
          </w:tcPr>
          <w:p w14:paraId="2650FB9E">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604B7DF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7283DF16">
            <w:pPr>
              <w:keepNext w:val="0"/>
              <w:keepLines w:val="0"/>
              <w:widowControl w:val="0"/>
              <w:suppressLineNumbers w:val="0"/>
              <w:spacing w:before="0" w:beforeAutospacing="0" w:after="0" w:afterAutospacing="0" w:line="280" w:lineRule="exact"/>
              <w:ind w:left="0" w:right="0" w:firstLine="360" w:firstLineChars="20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其中：第二产业增加值</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FD5CE41">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6A4BA5D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6366926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259DE2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GKGDP2_1</w:t>
            </w:r>
          </w:p>
        </w:tc>
        <w:tc>
          <w:tcPr>
            <w:tcW w:w="2020" w:type="dxa"/>
            <w:tcBorders>
              <w:top w:val="single" w:color="auto" w:sz="4" w:space="0"/>
              <w:left w:val="single" w:color="auto" w:sz="4" w:space="0"/>
              <w:bottom w:val="single" w:color="auto" w:sz="4" w:space="0"/>
              <w:right w:val="nil"/>
            </w:tcBorders>
            <w:noWrap w:val="0"/>
            <w:vAlign w:val="center"/>
          </w:tcPr>
          <w:p w14:paraId="53437C31">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4AF2D115">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2C7FA440">
            <w:pPr>
              <w:keepNext w:val="0"/>
              <w:keepLines w:val="0"/>
              <w:widowControl w:val="0"/>
              <w:suppressLineNumbers w:val="0"/>
              <w:spacing w:before="0" w:beforeAutospacing="0" w:after="0" w:afterAutospacing="0" w:line="280" w:lineRule="exact"/>
              <w:ind w:left="0" w:right="0" w:firstLine="900" w:firstLineChars="50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其中：工业增加值</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1ECB4411">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03CB44B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1C220F60">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76EDE13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GK203</w:t>
            </w:r>
          </w:p>
        </w:tc>
        <w:tc>
          <w:tcPr>
            <w:tcW w:w="2020" w:type="dxa"/>
            <w:tcBorders>
              <w:top w:val="single" w:color="auto" w:sz="4" w:space="0"/>
              <w:left w:val="single" w:color="auto" w:sz="4" w:space="0"/>
              <w:bottom w:val="single" w:color="auto" w:sz="4" w:space="0"/>
              <w:right w:val="nil"/>
            </w:tcBorders>
            <w:noWrap w:val="0"/>
            <w:vAlign w:val="top"/>
          </w:tcPr>
          <w:p w14:paraId="7FBFAD85">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41E727B6">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58A81156">
            <w:pPr>
              <w:keepNext w:val="0"/>
              <w:keepLines w:val="0"/>
              <w:widowControl w:val="0"/>
              <w:suppressLineNumbers w:val="0"/>
              <w:spacing w:before="0" w:beforeAutospacing="0" w:after="0" w:afterAutospacing="0" w:line="280" w:lineRule="exact"/>
              <w:ind w:left="0" w:leftChars="0" w:right="0" w:rightChars="0" w:firstLine="1440" w:firstLineChars="80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其中：规模以上工业增加值</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25148828">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410B2DD">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SA"/>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524C6294">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4CA5DBB9">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GK233</w:t>
            </w:r>
          </w:p>
        </w:tc>
        <w:tc>
          <w:tcPr>
            <w:tcW w:w="2020" w:type="dxa"/>
            <w:tcBorders>
              <w:top w:val="single" w:color="auto" w:sz="4" w:space="0"/>
              <w:left w:val="single" w:color="auto" w:sz="4" w:space="0"/>
              <w:bottom w:val="single" w:color="auto" w:sz="4" w:space="0"/>
              <w:right w:val="nil"/>
            </w:tcBorders>
            <w:noWrap w:val="0"/>
            <w:vAlign w:val="top"/>
          </w:tcPr>
          <w:p w14:paraId="50BA2BA1">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19214BF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1B610C6C">
            <w:pPr>
              <w:keepNext w:val="0"/>
              <w:keepLines w:val="0"/>
              <w:widowControl w:val="0"/>
              <w:suppressLineNumbers w:val="0"/>
              <w:spacing w:before="0" w:beforeAutospacing="0" w:after="0" w:afterAutospacing="0" w:line="280" w:lineRule="exact"/>
              <w:ind w:left="0" w:right="0" w:firstLine="360" w:firstLineChars="20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其中：第三产业增加值</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62024A2F">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7C19263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76A94A29">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6C0C893C">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GKGDP2_2</w:t>
            </w:r>
          </w:p>
        </w:tc>
        <w:tc>
          <w:tcPr>
            <w:tcW w:w="2020" w:type="dxa"/>
            <w:tcBorders>
              <w:top w:val="single" w:color="auto" w:sz="4" w:space="0"/>
              <w:left w:val="single" w:color="auto" w:sz="4" w:space="0"/>
              <w:bottom w:val="single" w:color="auto" w:sz="4" w:space="0"/>
              <w:right w:val="nil"/>
            </w:tcBorders>
            <w:noWrap w:val="0"/>
            <w:vAlign w:val="top"/>
          </w:tcPr>
          <w:p w14:paraId="18E4493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3E0D7B43">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1686C2DD">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高新区园区生产总值增速</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D9B36A1">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default" w:ascii="Times New Roman" w:hAnsi="Times New Roman" w:eastAsia="宋体" w:cs="Times New Roman"/>
                <w:bCs/>
                <w:color w:val="auto"/>
                <w:kern w:val="2"/>
                <w:sz w:val="18"/>
                <w:szCs w:val="18"/>
                <w:highlight w:val="none"/>
                <w:shd w:val="clear" w:color="auto" w:fill="auto"/>
                <w:lang w:val="en-US" w:eastAsia="zh-CN" w:bidi="ar"/>
              </w:rPr>
              <w:t>%</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3365F88">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5FA9D04E">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2CF7FE30">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GKGDP2_0</w:t>
            </w:r>
          </w:p>
        </w:tc>
        <w:tc>
          <w:tcPr>
            <w:tcW w:w="2020" w:type="dxa"/>
            <w:tcBorders>
              <w:top w:val="single" w:color="auto" w:sz="4" w:space="0"/>
              <w:left w:val="single" w:color="auto" w:sz="4" w:space="0"/>
              <w:bottom w:val="single" w:color="auto" w:sz="4" w:space="0"/>
              <w:right w:val="nil"/>
            </w:tcBorders>
            <w:noWrap w:val="0"/>
            <w:vAlign w:val="center"/>
          </w:tcPr>
          <w:p w14:paraId="6461A5A3">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7609AAB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2A196354">
            <w:pPr>
              <w:keepNext w:val="0"/>
              <w:keepLines w:val="0"/>
              <w:widowControl w:val="0"/>
              <w:suppressLineNumbers w:val="0"/>
              <w:spacing w:before="0" w:beforeAutospacing="0" w:after="0" w:afterAutospacing="0" w:line="280" w:lineRule="exact"/>
              <w:ind w:left="0" w:leftChars="0" w:right="0" w:firstLine="0" w:firstLineChars="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工业增加值增速</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1D1DF1E2">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eastAsia="宋体" w:cs="Times New Roman"/>
                <w:bCs/>
                <w:color w:val="auto"/>
                <w:kern w:val="2"/>
                <w:sz w:val="18"/>
                <w:szCs w:val="18"/>
                <w:highlight w:val="none"/>
                <w:shd w:val="clear" w:color="auto" w:fill="auto"/>
                <w:lang w:val="en-US" w:eastAsia="zh-CN"/>
              </w:rPr>
              <w:t>%</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00F6C374">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282A3AB3">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4AFE314A">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GKGDP2_3</w:t>
            </w:r>
          </w:p>
        </w:tc>
        <w:tc>
          <w:tcPr>
            <w:tcW w:w="2020" w:type="dxa"/>
            <w:tcBorders>
              <w:top w:val="single" w:color="auto" w:sz="4" w:space="0"/>
              <w:left w:val="single" w:color="auto" w:sz="4" w:space="0"/>
              <w:bottom w:val="single" w:color="auto" w:sz="4" w:space="0"/>
              <w:right w:val="nil"/>
            </w:tcBorders>
            <w:noWrap w:val="0"/>
            <w:vAlign w:val="center"/>
          </w:tcPr>
          <w:p w14:paraId="1AF21055">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66029A2E">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4D65F7B3">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规模以上工业增加值增速</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1996B08F">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Times New Roman" w:hAnsi="Times New Roman" w:cs="Times New Roman"/>
                <w:bCs/>
                <w:color w:val="auto"/>
                <w:kern w:val="2"/>
                <w:sz w:val="18"/>
                <w:szCs w:val="18"/>
                <w:highlight w:val="none"/>
                <w:shd w:val="clear" w:color="auto" w:fill="auto"/>
                <w:lang w:val="en-US" w:eastAsia="zh-CN"/>
              </w:rPr>
              <w:t>%</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11EE7B51">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02692103">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C115D5F">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GK234</w:t>
            </w:r>
          </w:p>
        </w:tc>
        <w:tc>
          <w:tcPr>
            <w:tcW w:w="2020" w:type="dxa"/>
            <w:tcBorders>
              <w:top w:val="single" w:color="auto" w:sz="4" w:space="0"/>
              <w:left w:val="single" w:color="auto" w:sz="4" w:space="0"/>
              <w:bottom w:val="single" w:color="auto" w:sz="4" w:space="0"/>
              <w:right w:val="nil"/>
            </w:tcBorders>
            <w:noWrap w:val="0"/>
            <w:vAlign w:val="top"/>
          </w:tcPr>
          <w:p w14:paraId="621A109D">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1081C45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495644D9">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规模以上工业企业平均用工人数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2A5FAA62">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人</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0509AEF">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GK128</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7F84C0E5">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0B6B9638">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GK228</w:t>
            </w:r>
          </w:p>
        </w:tc>
        <w:tc>
          <w:tcPr>
            <w:tcW w:w="2020" w:type="dxa"/>
            <w:tcBorders>
              <w:top w:val="single" w:color="auto" w:sz="4" w:space="0"/>
              <w:left w:val="single" w:color="auto" w:sz="4" w:space="0"/>
              <w:bottom w:val="single" w:color="auto" w:sz="4" w:space="0"/>
              <w:right w:val="nil"/>
            </w:tcBorders>
            <w:noWrap w:val="0"/>
            <w:vAlign w:val="center"/>
          </w:tcPr>
          <w:p w14:paraId="34BFE4EB">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7C38BEB1">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0CB5C5EA">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规模以上服务业企业期末用工人数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1D5EAE1B">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人</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2442A4C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GK129</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240BF888">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048351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GK229</w:t>
            </w:r>
          </w:p>
        </w:tc>
        <w:tc>
          <w:tcPr>
            <w:tcW w:w="2020" w:type="dxa"/>
            <w:tcBorders>
              <w:top w:val="single" w:color="auto" w:sz="4" w:space="0"/>
              <w:left w:val="single" w:color="auto" w:sz="4" w:space="0"/>
              <w:bottom w:val="single" w:color="auto" w:sz="4" w:space="0"/>
              <w:right w:val="nil"/>
            </w:tcBorders>
            <w:noWrap w:val="0"/>
            <w:vAlign w:val="center"/>
          </w:tcPr>
          <w:p w14:paraId="1DA838B2">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5A84411D">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5E274998">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规模以上工业总产值</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4E9D550">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0C6EC1FE">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3AEAFF29">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1696908B">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GK201_1</w:t>
            </w:r>
          </w:p>
        </w:tc>
        <w:tc>
          <w:tcPr>
            <w:tcW w:w="2020" w:type="dxa"/>
            <w:tcBorders>
              <w:top w:val="single" w:color="auto" w:sz="4" w:space="0"/>
              <w:left w:val="single" w:color="auto" w:sz="4" w:space="0"/>
              <w:bottom w:val="single" w:color="auto" w:sz="4" w:space="0"/>
              <w:right w:val="nil"/>
            </w:tcBorders>
            <w:noWrap w:val="0"/>
            <w:vAlign w:val="top"/>
          </w:tcPr>
          <w:p w14:paraId="641CB192">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56A648F6">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60F23254">
            <w:pPr>
              <w:keepNext w:val="0"/>
              <w:keepLines w:val="0"/>
              <w:widowControl w:val="0"/>
              <w:suppressLineNumbers w:val="0"/>
              <w:spacing w:before="0" w:beforeAutospacing="0" w:after="0" w:afterAutospacing="0" w:line="280" w:lineRule="exact"/>
              <w:ind w:left="0" w:leftChars="0" w:right="0" w:firstLine="0" w:firstLineChars="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规模以上工业企业营业收入</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29E4B5E1">
            <w:pPr>
              <w:keepNext w:val="0"/>
              <w:keepLines w:val="0"/>
              <w:widowControl w:val="0"/>
              <w:suppressLineNumbers w:val="0"/>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21D54353">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5E53E13C">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754B4D8">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GK235</w:t>
            </w:r>
          </w:p>
        </w:tc>
        <w:tc>
          <w:tcPr>
            <w:tcW w:w="2020" w:type="dxa"/>
            <w:tcBorders>
              <w:top w:val="single" w:color="auto" w:sz="4" w:space="0"/>
              <w:left w:val="single" w:color="auto" w:sz="4" w:space="0"/>
              <w:bottom w:val="single" w:color="auto" w:sz="4" w:space="0"/>
              <w:right w:val="nil"/>
            </w:tcBorders>
            <w:noWrap w:val="0"/>
            <w:vAlign w:val="top"/>
          </w:tcPr>
          <w:p w14:paraId="69BCD00C">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0B5F8796">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32DD26E6">
            <w:pPr>
              <w:keepNext w:val="0"/>
              <w:keepLines w:val="0"/>
              <w:widowControl w:val="0"/>
              <w:suppressLineNumbers w:val="0"/>
              <w:spacing w:before="0" w:beforeAutospacing="0" w:after="0" w:afterAutospacing="0" w:line="280" w:lineRule="exact"/>
              <w:ind w:left="0" w:leftChars="0" w:right="0" w:rightChars="0" w:firstLine="360" w:firstLineChars="200"/>
              <w:jc w:val="both"/>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其中：</w:t>
            </w:r>
            <w:r>
              <w:rPr>
                <w:rFonts w:hint="eastAsia" w:ascii="宋体" w:hAnsi="宋体" w:eastAsia="宋体" w:cs="宋体"/>
                <w:bCs/>
                <w:color w:val="auto"/>
                <w:sz w:val="18"/>
                <w:szCs w:val="18"/>
                <w:highlight w:val="none"/>
                <w:shd w:val="clear" w:color="auto" w:fill="auto"/>
                <w:lang w:bidi="ar"/>
              </w:rPr>
              <w:t>数字产业营业收入</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600CB06D">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Times New Roman" w:hAnsi="Times New Roman" w:cs="Times New Roman"/>
                <w:bCs/>
                <w:color w:val="auto"/>
                <w:kern w:val="2"/>
                <w:sz w:val="18"/>
                <w:szCs w:val="18"/>
                <w:highlight w:val="none"/>
                <w:shd w:val="clear" w:color="auto" w:fill="auto"/>
                <w:lang w:val="en-US" w:eastAsia="zh-CN" w:bidi="ar-SA"/>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6E99E13">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096A274C">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650A2C51">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GK235-1</w:t>
            </w:r>
          </w:p>
        </w:tc>
        <w:tc>
          <w:tcPr>
            <w:tcW w:w="2020" w:type="dxa"/>
            <w:tcBorders>
              <w:top w:val="single" w:color="auto" w:sz="4" w:space="0"/>
              <w:left w:val="single" w:color="auto" w:sz="4" w:space="0"/>
              <w:bottom w:val="single" w:color="auto" w:sz="4" w:space="0"/>
              <w:right w:val="nil"/>
            </w:tcBorders>
            <w:noWrap w:val="0"/>
            <w:vAlign w:val="top"/>
          </w:tcPr>
          <w:p w14:paraId="254ACBEA">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267BC079">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2A923695">
            <w:pPr>
              <w:keepNext w:val="0"/>
              <w:keepLines w:val="0"/>
              <w:widowControl w:val="0"/>
              <w:suppressLineNumbers w:val="0"/>
              <w:spacing w:before="0" w:beforeAutospacing="0" w:after="0" w:afterAutospacing="0" w:line="280" w:lineRule="exact"/>
              <w:ind w:left="0" w:leftChars="0" w:right="0" w:rightChars="0"/>
              <w:jc w:val="both"/>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规模以上服务业营业收入</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3A5D09B">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cs="Times New Roman"/>
                <w:bCs/>
                <w:color w:val="auto"/>
                <w:kern w:val="2"/>
                <w:sz w:val="18"/>
                <w:szCs w:val="18"/>
                <w:highlight w:val="none"/>
                <w:shd w:val="clear" w:color="auto" w:fill="auto"/>
                <w:lang w:val="en-US" w:eastAsia="zh-CN"/>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1E92063">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4C5EBF98">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00A18FF5">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GK230</w:t>
            </w:r>
          </w:p>
        </w:tc>
        <w:tc>
          <w:tcPr>
            <w:tcW w:w="2020" w:type="dxa"/>
            <w:tcBorders>
              <w:top w:val="single" w:color="auto" w:sz="4" w:space="0"/>
              <w:left w:val="single" w:color="auto" w:sz="4" w:space="0"/>
              <w:bottom w:val="single" w:color="auto" w:sz="4" w:space="0"/>
              <w:right w:val="nil"/>
            </w:tcBorders>
            <w:noWrap w:val="0"/>
            <w:vAlign w:val="top"/>
          </w:tcPr>
          <w:p w14:paraId="4F0609CA">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275D8B88">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1172791C">
            <w:pPr>
              <w:keepNext w:val="0"/>
              <w:keepLines w:val="0"/>
              <w:widowControl w:val="0"/>
              <w:suppressLineNumbers w:val="0"/>
              <w:spacing w:before="0" w:beforeAutospacing="0" w:after="0" w:afterAutospacing="0" w:line="280" w:lineRule="exact"/>
              <w:ind w:left="0" w:leftChars="0" w:right="0" w:rightChars="0"/>
              <w:jc w:val="both"/>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规模以上工业企业利润总额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763858E">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cs="Times New Roman"/>
                <w:bCs/>
                <w:color w:val="auto"/>
                <w:kern w:val="2"/>
                <w:sz w:val="18"/>
                <w:szCs w:val="18"/>
                <w:highlight w:val="none"/>
                <w:shd w:val="clear" w:color="auto" w:fill="auto"/>
                <w:lang w:val="en-US" w:eastAsia="zh-CN"/>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6173216B">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2E81D07F">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71ADB8C1">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GK231</w:t>
            </w:r>
          </w:p>
        </w:tc>
        <w:tc>
          <w:tcPr>
            <w:tcW w:w="2020" w:type="dxa"/>
            <w:tcBorders>
              <w:top w:val="single" w:color="auto" w:sz="4" w:space="0"/>
              <w:left w:val="single" w:color="auto" w:sz="4" w:space="0"/>
              <w:bottom w:val="single" w:color="auto" w:sz="4" w:space="0"/>
              <w:right w:val="nil"/>
            </w:tcBorders>
            <w:noWrap w:val="0"/>
            <w:vAlign w:val="top"/>
          </w:tcPr>
          <w:p w14:paraId="21FD2F59">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3ECF2C76">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30F8678C">
            <w:pPr>
              <w:keepNext w:val="0"/>
              <w:keepLines w:val="0"/>
              <w:widowControl w:val="0"/>
              <w:suppressLineNumbers w:val="0"/>
              <w:spacing w:before="0" w:beforeAutospacing="0" w:after="0" w:afterAutospacing="0" w:line="280" w:lineRule="exact"/>
              <w:ind w:left="0" w:leftChars="0" w:right="0" w:rightChars="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规模以上服务业利润总额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319B2F5">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1FB8149E">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42097A30">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035AD708">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GK232</w:t>
            </w:r>
          </w:p>
        </w:tc>
        <w:tc>
          <w:tcPr>
            <w:tcW w:w="2020" w:type="dxa"/>
            <w:tcBorders>
              <w:top w:val="single" w:color="auto" w:sz="4" w:space="0"/>
              <w:left w:val="single" w:color="auto" w:sz="4" w:space="0"/>
              <w:bottom w:val="single" w:color="auto" w:sz="4" w:space="0"/>
              <w:right w:val="nil"/>
            </w:tcBorders>
            <w:noWrap w:val="0"/>
            <w:vAlign w:val="top"/>
          </w:tcPr>
          <w:p w14:paraId="211824C3">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3A72A9D4">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0C8F1FAB">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规模以上工业企业净利润</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3709AB9C">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5AE7B4C">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64F70DDE">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3CA661D1">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GK236</w:t>
            </w:r>
          </w:p>
        </w:tc>
        <w:tc>
          <w:tcPr>
            <w:tcW w:w="2020" w:type="dxa"/>
            <w:tcBorders>
              <w:top w:val="single" w:color="auto" w:sz="4" w:space="0"/>
              <w:left w:val="single" w:color="auto" w:sz="4" w:space="0"/>
              <w:bottom w:val="single" w:color="auto" w:sz="4" w:space="0"/>
              <w:right w:val="nil"/>
            </w:tcBorders>
            <w:noWrap w:val="0"/>
            <w:vAlign w:val="top"/>
          </w:tcPr>
          <w:p w14:paraId="2A3B41A2">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r w14:paraId="5058E1CA">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8" w:space="0"/>
              <w:right w:val="single" w:color="auto" w:sz="4" w:space="0"/>
            </w:tcBorders>
            <w:noWrap w:val="0"/>
            <w:vAlign w:val="center"/>
          </w:tcPr>
          <w:p w14:paraId="698324C4">
            <w:pPr>
              <w:keepNext w:val="0"/>
              <w:keepLines w:val="0"/>
              <w:widowControl w:val="0"/>
              <w:suppressLineNumbers w:val="0"/>
              <w:spacing w:before="0" w:beforeAutospacing="0" w:after="0" w:afterAutospacing="0" w:line="280" w:lineRule="exact"/>
              <w:ind w:left="0" w:leftChars="0" w:right="0" w:rightChars="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进出口总额</w:t>
            </w:r>
          </w:p>
        </w:tc>
        <w:tc>
          <w:tcPr>
            <w:tcW w:w="600" w:type="dxa"/>
            <w:tcBorders>
              <w:top w:val="single" w:color="auto" w:sz="4" w:space="0"/>
              <w:left w:val="single" w:color="auto" w:sz="4" w:space="0"/>
              <w:bottom w:val="single" w:color="auto" w:sz="8" w:space="0"/>
              <w:right w:val="single" w:color="auto" w:sz="4" w:space="0"/>
            </w:tcBorders>
            <w:noWrap w:val="0"/>
            <w:vAlign w:val="center"/>
          </w:tcPr>
          <w:p w14:paraId="1319B484">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8" w:space="0"/>
              <w:right w:val="single" w:color="auto" w:sz="4" w:space="0"/>
            </w:tcBorders>
            <w:noWrap w:val="0"/>
            <w:vAlign w:val="center"/>
          </w:tcPr>
          <w:p w14:paraId="1BB3597D">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SA"/>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390" w:type="dxa"/>
            <w:tcBorders>
              <w:top w:val="single" w:color="auto" w:sz="4" w:space="0"/>
              <w:left w:val="single" w:color="auto" w:sz="4" w:space="0"/>
              <w:bottom w:val="single" w:color="auto" w:sz="8" w:space="0"/>
              <w:right w:val="single" w:color="auto" w:sz="4" w:space="0"/>
            </w:tcBorders>
            <w:noWrap w:val="0"/>
            <w:vAlign w:val="center"/>
          </w:tcPr>
          <w:p w14:paraId="09297369">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70" w:type="dxa"/>
            <w:tcBorders>
              <w:top w:val="single" w:color="auto" w:sz="4" w:space="0"/>
              <w:left w:val="single" w:color="auto" w:sz="4" w:space="0"/>
              <w:bottom w:val="single" w:color="auto" w:sz="8" w:space="0"/>
              <w:right w:val="single" w:color="auto" w:sz="4" w:space="0"/>
            </w:tcBorders>
            <w:noWrap w:val="0"/>
            <w:vAlign w:val="top"/>
          </w:tcPr>
          <w:p w14:paraId="6FA9A7F1">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GK227_0</w:t>
            </w:r>
          </w:p>
        </w:tc>
        <w:tc>
          <w:tcPr>
            <w:tcW w:w="2020" w:type="dxa"/>
            <w:tcBorders>
              <w:top w:val="single" w:color="auto" w:sz="4" w:space="0"/>
              <w:left w:val="single" w:color="auto" w:sz="4" w:space="0"/>
              <w:bottom w:val="single" w:color="auto" w:sz="8" w:space="0"/>
              <w:right w:val="nil"/>
            </w:tcBorders>
            <w:noWrap w:val="0"/>
            <w:vAlign w:val="center"/>
          </w:tcPr>
          <w:p w14:paraId="6488CC11">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p>
        </w:tc>
      </w:tr>
    </w:tbl>
    <w:p w14:paraId="7350978A">
      <w:pPr>
        <w:spacing w:after="0" w:line="280" w:lineRule="exact"/>
        <w:ind w:left="0" w:leftChars="0" w:firstLine="180" w:firstLineChars="100"/>
        <w:rPr>
          <w:rFonts w:hint="eastAsia" w:ascii="宋体" w:hAnsi="宋体" w:eastAsia="宋体" w:cs="宋体"/>
          <w:bCs/>
          <w:color w:val="auto"/>
          <w:sz w:val="18"/>
          <w:szCs w:val="18"/>
          <w:highlight w:val="none"/>
          <w:shd w:val="clear" w:color="auto" w:fill="auto"/>
          <w:lang w:eastAsia="zh-CN" w:bidi="ar"/>
        </w:rPr>
      </w:pPr>
      <w:r>
        <w:rPr>
          <w:rFonts w:hint="eastAsia" w:ascii="宋体" w:hAnsi="宋体" w:eastAsia="宋体" w:cs="宋体"/>
          <w:bCs/>
          <w:color w:val="auto"/>
          <w:sz w:val="18"/>
          <w:szCs w:val="18"/>
          <w:highlight w:val="none"/>
          <w:shd w:val="clear" w:color="auto" w:fill="auto"/>
          <w:lang w:eastAsia="zh-CN" w:bidi="ar"/>
        </w:rPr>
        <w:t>续表：</w:t>
      </w:r>
    </w:p>
    <w:tbl>
      <w:tblPr>
        <w:tblStyle w:val="34"/>
        <w:tblpPr w:leftFromText="180" w:rightFromText="180" w:vertAnchor="text" w:horzAnchor="page" w:tblpX="1502" w:tblpY="1"/>
        <w:tblOverlap w:val="never"/>
        <w:tblW w:w="0" w:type="auto"/>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600"/>
        <w:gridCol w:w="953"/>
        <w:gridCol w:w="1400"/>
        <w:gridCol w:w="1160"/>
        <w:gridCol w:w="1970"/>
      </w:tblGrid>
      <w:tr w14:paraId="4B0AFC0E">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8" w:space="0"/>
              <w:left w:val="nil"/>
              <w:bottom w:val="single" w:color="auto" w:sz="4" w:space="0"/>
              <w:right w:val="single" w:color="auto" w:sz="4" w:space="0"/>
            </w:tcBorders>
            <w:noWrap w:val="0"/>
            <w:vAlign w:val="center"/>
          </w:tcPr>
          <w:p w14:paraId="190B4642">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指标名称</w:t>
            </w:r>
          </w:p>
        </w:tc>
        <w:tc>
          <w:tcPr>
            <w:tcW w:w="600" w:type="dxa"/>
            <w:tcBorders>
              <w:top w:val="single" w:color="auto" w:sz="8" w:space="0"/>
              <w:left w:val="single" w:color="auto" w:sz="4" w:space="0"/>
              <w:bottom w:val="single" w:color="auto" w:sz="4" w:space="0"/>
              <w:right w:val="single" w:color="auto" w:sz="4" w:space="0"/>
            </w:tcBorders>
            <w:noWrap w:val="0"/>
            <w:vAlign w:val="center"/>
          </w:tcPr>
          <w:p w14:paraId="4548C31B">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计量单位</w:t>
            </w:r>
          </w:p>
        </w:tc>
        <w:tc>
          <w:tcPr>
            <w:tcW w:w="953" w:type="dxa"/>
            <w:tcBorders>
              <w:top w:val="single" w:color="auto" w:sz="8" w:space="0"/>
              <w:left w:val="single" w:color="auto" w:sz="4" w:space="0"/>
              <w:bottom w:val="single" w:color="auto" w:sz="4" w:space="0"/>
              <w:right w:val="single" w:color="auto" w:sz="4" w:space="0"/>
            </w:tcBorders>
            <w:noWrap w:val="0"/>
            <w:vAlign w:val="center"/>
          </w:tcPr>
          <w:p w14:paraId="6F2D598B">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lang w:bidi="ar-SA"/>
              </w:rPr>
            </w:pPr>
            <w:r>
              <w:rPr>
                <w:rFonts w:hint="eastAsia" w:ascii="宋体" w:hAnsi="宋体" w:eastAsia="宋体" w:cs="宋体"/>
                <w:bCs/>
                <w:color w:val="auto"/>
                <w:kern w:val="2"/>
                <w:sz w:val="18"/>
                <w:szCs w:val="18"/>
                <w:highlight w:val="none"/>
                <w:shd w:val="clear" w:color="auto" w:fill="auto"/>
                <w:lang w:val="en-US" w:eastAsia="zh-CN" w:bidi="ar"/>
              </w:rPr>
              <w:t>代码</w:t>
            </w:r>
          </w:p>
        </w:tc>
        <w:tc>
          <w:tcPr>
            <w:tcW w:w="1400" w:type="dxa"/>
            <w:tcBorders>
              <w:top w:val="single" w:color="auto" w:sz="8" w:space="0"/>
              <w:left w:val="single" w:color="auto" w:sz="4" w:space="0"/>
              <w:bottom w:val="single" w:color="auto" w:sz="4" w:space="0"/>
              <w:right w:val="single" w:color="auto" w:sz="4" w:space="0"/>
            </w:tcBorders>
            <w:noWrap w:val="0"/>
            <w:vAlign w:val="center"/>
          </w:tcPr>
          <w:p w14:paraId="31C9AF80">
            <w:pPr>
              <w:keepNext w:val="0"/>
              <w:keepLines w:val="0"/>
              <w:widowControl w:val="0"/>
              <w:suppressLineNumbers w:val="0"/>
              <w:spacing w:before="0" w:beforeAutospacing="0" w:after="0" w:afterAutospacing="0" w:line="280" w:lineRule="exact"/>
              <w:ind w:left="0" w:right="0"/>
              <w:jc w:val="center"/>
              <w:rPr>
                <w:rFonts w:hint="default" w:ascii="宋体" w:hAnsi="宋体" w:eastAsia="宋体" w:cs="宋体"/>
                <w:bCs/>
                <w:color w:val="auto"/>
                <w:kern w:val="2"/>
                <w:sz w:val="18"/>
                <w:szCs w:val="18"/>
                <w:highlight w:val="none"/>
                <w:shd w:val="clear" w:color="auto" w:fill="auto"/>
                <w:lang w:bidi="ar"/>
              </w:rPr>
            </w:pPr>
            <w:r>
              <w:rPr>
                <w:rFonts w:hint="eastAsia" w:ascii="宋体" w:hAnsi="宋体" w:eastAsia="宋体" w:cs="宋体"/>
                <w:bCs/>
                <w:color w:val="auto"/>
                <w:kern w:val="2"/>
                <w:sz w:val="18"/>
                <w:szCs w:val="18"/>
                <w:highlight w:val="none"/>
                <w:shd w:val="clear" w:color="auto" w:fill="auto"/>
                <w:lang w:val="en-US" w:eastAsia="zh-CN" w:bidi="ar"/>
              </w:rPr>
              <w:t>本月数</w:t>
            </w:r>
          </w:p>
        </w:tc>
        <w:tc>
          <w:tcPr>
            <w:tcW w:w="1160" w:type="dxa"/>
            <w:tcBorders>
              <w:top w:val="single" w:color="auto" w:sz="8" w:space="0"/>
              <w:left w:val="single" w:color="auto" w:sz="4" w:space="0"/>
              <w:bottom w:val="single" w:color="auto" w:sz="4" w:space="0"/>
              <w:right w:val="single" w:color="auto" w:sz="4" w:space="0"/>
            </w:tcBorders>
            <w:noWrap w:val="0"/>
            <w:vAlign w:val="center"/>
          </w:tcPr>
          <w:p w14:paraId="0DC399D9">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lang w:bidi="ar-SA"/>
              </w:rPr>
            </w:pPr>
            <w:r>
              <w:rPr>
                <w:rFonts w:hint="eastAsia" w:ascii="宋体" w:hAnsi="宋体" w:eastAsia="宋体" w:cs="宋体"/>
                <w:bCs/>
                <w:color w:val="auto"/>
                <w:kern w:val="2"/>
                <w:sz w:val="18"/>
                <w:szCs w:val="18"/>
                <w:highlight w:val="none"/>
                <w:shd w:val="clear" w:color="auto" w:fill="auto"/>
                <w:lang w:val="en-US" w:eastAsia="zh-CN" w:bidi="ar"/>
              </w:rPr>
              <w:t>代码</w:t>
            </w:r>
          </w:p>
        </w:tc>
        <w:tc>
          <w:tcPr>
            <w:tcW w:w="1970" w:type="dxa"/>
            <w:tcBorders>
              <w:top w:val="single" w:color="auto" w:sz="8" w:space="0"/>
              <w:left w:val="single" w:color="auto" w:sz="4" w:space="0"/>
              <w:bottom w:val="single" w:color="auto" w:sz="4" w:space="0"/>
              <w:right w:val="nil"/>
            </w:tcBorders>
            <w:noWrap w:val="0"/>
            <w:vAlign w:val="center"/>
          </w:tcPr>
          <w:p w14:paraId="431213D3">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eastAsia="宋体" w:cs="宋体"/>
                <w:bCs/>
                <w:color w:val="auto"/>
                <w:kern w:val="2"/>
                <w:sz w:val="18"/>
                <w:szCs w:val="18"/>
                <w:highlight w:val="none"/>
                <w:shd w:val="clear" w:color="auto" w:fill="auto"/>
                <w:lang w:val="en-US" w:eastAsia="zh-CN" w:bidi="ar"/>
              </w:rPr>
            </w:pPr>
            <w:r>
              <w:rPr>
                <w:rFonts w:hint="eastAsia" w:ascii="宋体" w:hAnsi="宋体" w:eastAsia="宋体" w:cs="宋体"/>
                <w:bCs/>
                <w:color w:val="auto"/>
                <w:kern w:val="2"/>
                <w:sz w:val="18"/>
                <w:szCs w:val="18"/>
                <w:highlight w:val="none"/>
                <w:shd w:val="clear" w:color="auto" w:fill="auto"/>
                <w:lang w:val="en-US" w:eastAsia="zh-CN" w:bidi="ar"/>
              </w:rPr>
              <w:t>1-本月累计</w:t>
            </w:r>
          </w:p>
        </w:tc>
      </w:tr>
      <w:tr w14:paraId="611511A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25B61319">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甲</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1760BCE5">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乙</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094B6A9">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丙</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330597B9">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default" w:ascii="Times New Roman" w:hAnsi="Times New Roman" w:eastAsia="宋体" w:cs="Times New Roman"/>
                <w:bCs/>
                <w:color w:val="auto"/>
                <w:kern w:val="2"/>
                <w:sz w:val="18"/>
                <w:szCs w:val="18"/>
                <w:highlight w:val="none"/>
                <w:shd w:val="clear" w:color="auto" w:fill="auto"/>
                <w:lang w:val="en-US" w:eastAsia="zh-CN" w:bidi="ar"/>
              </w:rPr>
              <w:t>1</w:t>
            </w:r>
          </w:p>
        </w:tc>
        <w:tc>
          <w:tcPr>
            <w:tcW w:w="1160" w:type="dxa"/>
            <w:tcBorders>
              <w:top w:val="single" w:color="auto" w:sz="4" w:space="0"/>
              <w:left w:val="single" w:color="auto" w:sz="4" w:space="0"/>
              <w:bottom w:val="single" w:color="auto" w:sz="4" w:space="0"/>
              <w:right w:val="single" w:color="auto" w:sz="4" w:space="0"/>
            </w:tcBorders>
            <w:noWrap w:val="0"/>
            <w:vAlign w:val="center"/>
          </w:tcPr>
          <w:p w14:paraId="357718C1">
            <w:pPr>
              <w:keepNext w:val="0"/>
              <w:keepLines w:val="0"/>
              <w:widowControl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丙</w:t>
            </w:r>
          </w:p>
        </w:tc>
        <w:tc>
          <w:tcPr>
            <w:tcW w:w="1970" w:type="dxa"/>
            <w:tcBorders>
              <w:top w:val="single" w:color="auto" w:sz="4" w:space="0"/>
              <w:left w:val="single" w:color="auto" w:sz="4" w:space="0"/>
              <w:bottom w:val="single" w:color="auto" w:sz="4" w:space="0"/>
              <w:right w:val="nil"/>
            </w:tcBorders>
            <w:noWrap w:val="0"/>
            <w:vAlign w:val="center"/>
          </w:tcPr>
          <w:p w14:paraId="189D30C3">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default" w:ascii="Times New Roman" w:hAnsi="Times New Roman" w:eastAsia="宋体" w:cs="Times New Roman"/>
                <w:bCs/>
                <w:color w:val="auto"/>
                <w:kern w:val="2"/>
                <w:sz w:val="18"/>
                <w:szCs w:val="18"/>
                <w:highlight w:val="none"/>
                <w:shd w:val="clear" w:color="auto" w:fill="auto"/>
                <w:lang w:val="en-US" w:eastAsia="zh-CN" w:bidi="ar"/>
              </w:rPr>
              <w:t>2</w:t>
            </w:r>
          </w:p>
        </w:tc>
      </w:tr>
      <w:tr w14:paraId="4A4473CF">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B68C38D">
            <w:pPr>
              <w:keepNext w:val="0"/>
              <w:keepLines w:val="0"/>
              <w:widowControl w:val="0"/>
              <w:suppressLineNumbers w:val="0"/>
              <w:spacing w:before="0" w:beforeAutospacing="0" w:after="0" w:afterAutospacing="0" w:line="280" w:lineRule="exact"/>
              <w:ind w:left="0" w:leftChars="0" w:right="0" w:rightChars="0" w:firstLine="360" w:firstLineChars="20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其中：出口总额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3A5B5CD6">
            <w:pPr>
              <w:keepNext w:val="0"/>
              <w:keepLines w:val="0"/>
              <w:widowControl w:val="0"/>
              <w:suppressLineNumbers w:val="0"/>
              <w:spacing w:before="0" w:beforeAutospacing="0" w:after="0" w:afterAutospacing="0" w:line="280" w:lineRule="exact"/>
              <w:ind w:left="0" w:leftChars="0" w:right="0" w:right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5E6DF66">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7F7026ED">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6F2711CE">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GK227</w:t>
            </w:r>
          </w:p>
        </w:tc>
        <w:tc>
          <w:tcPr>
            <w:tcW w:w="1970" w:type="dxa"/>
            <w:tcBorders>
              <w:top w:val="single" w:color="auto" w:sz="4" w:space="0"/>
              <w:left w:val="single" w:color="auto" w:sz="4" w:space="0"/>
              <w:bottom w:val="single" w:color="auto" w:sz="4" w:space="0"/>
              <w:right w:val="nil"/>
            </w:tcBorders>
            <w:noWrap w:val="0"/>
            <w:vAlign w:val="center"/>
          </w:tcPr>
          <w:p w14:paraId="4280933C">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2"/>
                <w:sz w:val="21"/>
                <w:szCs w:val="21"/>
                <w:highlight w:val="none"/>
                <w:shd w:val="clear" w:color="auto" w:fill="auto"/>
                <w:lang w:val="en-US" w:eastAsia="zh-CN" w:bidi="ar-SA"/>
              </w:rPr>
            </w:pPr>
          </w:p>
        </w:tc>
      </w:tr>
      <w:tr w14:paraId="20407D1B">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2961E712">
            <w:pPr>
              <w:keepNext w:val="0"/>
              <w:keepLines w:val="0"/>
              <w:widowControl w:val="0"/>
              <w:suppressLineNumbers w:val="0"/>
              <w:spacing w:before="0" w:beforeAutospacing="0" w:after="0" w:afterAutospacing="0" w:line="280" w:lineRule="exact"/>
              <w:ind w:left="0" w:leftChars="0" w:right="0" w:firstLine="900" w:firstLineChars="50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其中：规模以上工业企业出口总额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7A0CB41">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5F498D5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03657D45">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center"/>
          </w:tcPr>
          <w:p w14:paraId="5607CE9C">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GK227_1</w:t>
            </w:r>
          </w:p>
        </w:tc>
        <w:tc>
          <w:tcPr>
            <w:tcW w:w="1970" w:type="dxa"/>
            <w:tcBorders>
              <w:top w:val="single" w:color="auto" w:sz="4" w:space="0"/>
              <w:left w:val="single" w:color="auto" w:sz="4" w:space="0"/>
              <w:bottom w:val="single" w:color="auto" w:sz="4" w:space="0"/>
              <w:right w:val="nil"/>
            </w:tcBorders>
            <w:noWrap w:val="0"/>
            <w:vAlign w:val="center"/>
          </w:tcPr>
          <w:p w14:paraId="2C79BD45">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2"/>
                <w:sz w:val="21"/>
                <w:szCs w:val="21"/>
                <w:highlight w:val="none"/>
                <w:shd w:val="clear" w:color="auto" w:fill="auto"/>
              </w:rPr>
            </w:pPr>
          </w:p>
        </w:tc>
      </w:tr>
      <w:tr w14:paraId="54CC976F">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68A3D4B">
            <w:pPr>
              <w:keepNext w:val="0"/>
              <w:keepLines w:val="0"/>
              <w:widowControl w:val="0"/>
              <w:suppressLineNumbers w:val="0"/>
              <w:spacing w:before="0" w:beforeAutospacing="0" w:after="0" w:afterAutospacing="0" w:line="280" w:lineRule="exact"/>
              <w:ind w:left="0" w:leftChars="0" w:right="0" w:rightChars="0" w:firstLine="0" w:firstLineChars="0"/>
              <w:jc w:val="both"/>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宋体" w:hAnsi="宋体" w:eastAsia="宋体" w:cs="宋体"/>
                <w:bCs/>
                <w:color w:val="auto"/>
                <w:kern w:val="2"/>
                <w:sz w:val="18"/>
                <w:szCs w:val="18"/>
                <w:highlight w:val="none"/>
                <w:shd w:val="clear" w:color="auto" w:fill="auto"/>
                <w:lang w:val="en-US" w:eastAsia="zh-CN" w:bidi="ar"/>
              </w:rPr>
              <w:t>规模以上工业企业实际上缴税费总额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0C387295">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bidi="ar-SA"/>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63642997">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11A42567">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748D6EC3">
            <w:pPr>
              <w:keepNext w:val="0"/>
              <w:keepLines w:val="0"/>
              <w:widowControl/>
              <w:suppressLineNumbers w:val="0"/>
              <w:shd w:val="clear" w:color="auto" w:fill="auto"/>
              <w:spacing w:before="0" w:beforeAutospacing="0" w:after="0" w:afterAutospacing="0" w:line="280" w:lineRule="exact"/>
              <w:ind w:left="0" w:leftChars="0" w:right="0" w:rightChars="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GK226</w:t>
            </w:r>
          </w:p>
        </w:tc>
        <w:tc>
          <w:tcPr>
            <w:tcW w:w="1970" w:type="dxa"/>
            <w:tcBorders>
              <w:top w:val="single" w:color="auto" w:sz="4" w:space="0"/>
              <w:left w:val="single" w:color="auto" w:sz="4" w:space="0"/>
              <w:bottom w:val="single" w:color="auto" w:sz="4" w:space="0"/>
              <w:right w:val="nil"/>
            </w:tcBorders>
            <w:noWrap w:val="0"/>
            <w:vAlign w:val="center"/>
          </w:tcPr>
          <w:p w14:paraId="375F1414">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2FA54992">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5696C9C8">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实际利用外资金额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53330E2">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6E85762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7658B75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31D37985">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GK234</w:t>
            </w:r>
          </w:p>
        </w:tc>
        <w:tc>
          <w:tcPr>
            <w:tcW w:w="1970" w:type="dxa"/>
            <w:tcBorders>
              <w:top w:val="single" w:color="auto" w:sz="4" w:space="0"/>
              <w:left w:val="single" w:color="auto" w:sz="4" w:space="0"/>
              <w:bottom w:val="single" w:color="auto" w:sz="4" w:space="0"/>
              <w:right w:val="nil"/>
            </w:tcBorders>
            <w:noWrap w:val="0"/>
            <w:vAlign w:val="center"/>
          </w:tcPr>
          <w:p w14:paraId="487BB86F">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7227A8FF">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071F2F6A">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其中：制造业实际利用外资金额</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5A54815C">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5B39F478">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7932A71C">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5D931A43">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GK234_1</w:t>
            </w:r>
          </w:p>
        </w:tc>
        <w:tc>
          <w:tcPr>
            <w:tcW w:w="1970" w:type="dxa"/>
            <w:tcBorders>
              <w:top w:val="single" w:color="auto" w:sz="4" w:space="0"/>
              <w:left w:val="single" w:color="auto" w:sz="4" w:space="0"/>
              <w:bottom w:val="single" w:color="auto" w:sz="4" w:space="0"/>
              <w:right w:val="nil"/>
            </w:tcBorders>
            <w:noWrap w:val="0"/>
            <w:vAlign w:val="center"/>
          </w:tcPr>
          <w:p w14:paraId="0E2E3231">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595FD280">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053F89AF">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高新区财政收入</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77049CE8">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29F5CA7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373EB8E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2E44087C">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GK224</w:t>
            </w:r>
          </w:p>
        </w:tc>
        <w:tc>
          <w:tcPr>
            <w:tcW w:w="1970" w:type="dxa"/>
            <w:tcBorders>
              <w:top w:val="single" w:color="auto" w:sz="4" w:space="0"/>
              <w:left w:val="single" w:color="auto" w:sz="4" w:space="0"/>
              <w:bottom w:val="single" w:color="auto" w:sz="4" w:space="0"/>
              <w:right w:val="nil"/>
            </w:tcBorders>
            <w:noWrap w:val="0"/>
            <w:vAlign w:val="center"/>
          </w:tcPr>
          <w:p w14:paraId="230C2D36">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22FBAD76">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04ADC9E">
            <w:pPr>
              <w:keepNext w:val="0"/>
              <w:keepLines w:val="0"/>
              <w:widowControl w:val="0"/>
              <w:suppressLineNumbers w:val="0"/>
              <w:spacing w:before="0" w:beforeAutospacing="0" w:after="0" w:afterAutospacing="0" w:line="280" w:lineRule="exact"/>
              <w:ind w:left="0" w:right="0" w:firstLine="360" w:firstLineChars="20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其中：公共财政预算收入</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311D1B92">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7519B449">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ECF85E8">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1383656E">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GK224_1</w:t>
            </w:r>
          </w:p>
        </w:tc>
        <w:tc>
          <w:tcPr>
            <w:tcW w:w="1970" w:type="dxa"/>
            <w:tcBorders>
              <w:top w:val="single" w:color="auto" w:sz="4" w:space="0"/>
              <w:left w:val="single" w:color="auto" w:sz="4" w:space="0"/>
              <w:bottom w:val="single" w:color="auto" w:sz="4" w:space="0"/>
              <w:right w:val="nil"/>
            </w:tcBorders>
            <w:noWrap w:val="0"/>
            <w:vAlign w:val="center"/>
          </w:tcPr>
          <w:p w14:paraId="20FF96BB">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3C3AB1EB">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6043B8E8">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高新区税收收入</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6F304EE1">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06443983">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0734EDFF">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07988395">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GK225</w:t>
            </w:r>
          </w:p>
        </w:tc>
        <w:tc>
          <w:tcPr>
            <w:tcW w:w="1970" w:type="dxa"/>
            <w:tcBorders>
              <w:top w:val="single" w:color="auto" w:sz="4" w:space="0"/>
              <w:left w:val="single" w:color="auto" w:sz="4" w:space="0"/>
              <w:bottom w:val="single" w:color="auto" w:sz="4" w:space="0"/>
              <w:right w:val="nil"/>
            </w:tcBorders>
            <w:noWrap w:val="0"/>
            <w:vAlign w:val="center"/>
          </w:tcPr>
          <w:p w14:paraId="1BAC5D9F">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2E19D40B">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1EA94AAD">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其中：高新区工业企业税收收入</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63C2B9A1">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8FAA5A9">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704FA92D">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11378AC8">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GK225_1</w:t>
            </w:r>
          </w:p>
        </w:tc>
        <w:tc>
          <w:tcPr>
            <w:tcW w:w="1970" w:type="dxa"/>
            <w:tcBorders>
              <w:top w:val="single" w:color="auto" w:sz="4" w:space="0"/>
              <w:left w:val="single" w:color="auto" w:sz="4" w:space="0"/>
              <w:bottom w:val="single" w:color="auto" w:sz="4" w:space="0"/>
              <w:right w:val="nil"/>
            </w:tcBorders>
            <w:noWrap w:val="0"/>
            <w:vAlign w:val="center"/>
          </w:tcPr>
          <w:p w14:paraId="36D6B921">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0A1E2561">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0F31EBFD">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高新区固定资产投资额（不含农户）</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335264E9">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B6D198A">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63F418DE">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333E3401">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GK215</w:t>
            </w:r>
          </w:p>
        </w:tc>
        <w:tc>
          <w:tcPr>
            <w:tcW w:w="1970" w:type="dxa"/>
            <w:tcBorders>
              <w:top w:val="single" w:color="auto" w:sz="4" w:space="0"/>
              <w:left w:val="single" w:color="auto" w:sz="4" w:space="0"/>
              <w:bottom w:val="single" w:color="auto" w:sz="4" w:space="0"/>
              <w:right w:val="nil"/>
            </w:tcBorders>
            <w:noWrap w:val="0"/>
            <w:vAlign w:val="center"/>
          </w:tcPr>
          <w:p w14:paraId="5AE6B685">
            <w:pPr>
              <w:keepNext w:val="0"/>
              <w:keepLines w:val="0"/>
              <w:widowControl w:val="0"/>
              <w:suppressLineNumbers w:val="0"/>
              <w:spacing w:before="0" w:beforeAutospacing="0" w:after="0" w:afterAutospacing="0" w:line="280" w:lineRule="exact"/>
              <w:ind w:left="0" w:leftChars="0" w:right="0" w:rightChars="0" w:firstLine="0" w:firstLine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320C8AB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54EDE2A5">
            <w:pPr>
              <w:keepNext w:val="0"/>
              <w:keepLines w:val="0"/>
              <w:widowControl w:val="0"/>
              <w:suppressLineNumbers w:val="0"/>
              <w:spacing w:before="0" w:beforeAutospacing="0" w:after="0" w:afterAutospacing="0" w:line="280" w:lineRule="exact"/>
              <w:ind w:left="0" w:leftChars="0" w:right="0" w:firstLine="360" w:firstLineChars="20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其中：民间投资</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7E226965">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1A48E4C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344A3AE1">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12DBE8E0">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GK215_0</w:t>
            </w:r>
          </w:p>
        </w:tc>
        <w:tc>
          <w:tcPr>
            <w:tcW w:w="1970" w:type="dxa"/>
            <w:tcBorders>
              <w:top w:val="single" w:color="auto" w:sz="4" w:space="0"/>
              <w:left w:val="single" w:color="auto" w:sz="4" w:space="0"/>
              <w:bottom w:val="single" w:color="auto" w:sz="4" w:space="0"/>
              <w:right w:val="nil"/>
            </w:tcBorders>
            <w:noWrap w:val="0"/>
            <w:vAlign w:val="center"/>
          </w:tcPr>
          <w:p w14:paraId="053DB09C">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67620523">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1AB1A37C">
            <w:pPr>
              <w:keepNext w:val="0"/>
              <w:keepLines w:val="0"/>
              <w:widowControl w:val="0"/>
              <w:suppressLineNumbers w:val="0"/>
              <w:spacing w:before="0" w:beforeAutospacing="0" w:after="0" w:afterAutospacing="0" w:line="280" w:lineRule="exact"/>
              <w:ind w:left="0" w:right="0" w:firstLine="360" w:firstLineChars="20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其中：工业固定资产投资</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EFE1B6B">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8A6A046">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68E760CB">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687F663A">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GK215_1</w:t>
            </w:r>
          </w:p>
        </w:tc>
        <w:tc>
          <w:tcPr>
            <w:tcW w:w="1970" w:type="dxa"/>
            <w:tcBorders>
              <w:top w:val="single" w:color="auto" w:sz="4" w:space="0"/>
              <w:left w:val="single" w:color="auto" w:sz="4" w:space="0"/>
              <w:bottom w:val="single" w:color="auto" w:sz="4" w:space="0"/>
              <w:right w:val="nil"/>
            </w:tcBorders>
            <w:noWrap w:val="0"/>
            <w:vAlign w:val="center"/>
          </w:tcPr>
          <w:p w14:paraId="420C9B87">
            <w:pPr>
              <w:keepNext w:val="0"/>
              <w:keepLines w:val="0"/>
              <w:widowControl w:val="0"/>
              <w:suppressLineNumbers w:val="0"/>
              <w:spacing w:before="0" w:beforeAutospacing="0" w:after="0" w:afterAutospacing="0" w:line="280" w:lineRule="exact"/>
              <w:ind w:left="0" w:leftChars="0" w:right="0" w:rightChars="0"/>
              <w:jc w:val="center"/>
              <w:rPr>
                <w:rFonts w:hint="eastAsia" w:ascii="等线" w:hAnsi="等线" w:eastAsia="宋体" w:cs="等线"/>
                <w:bCs/>
                <w:color w:val="auto"/>
                <w:kern w:val="0"/>
                <w:sz w:val="18"/>
                <w:szCs w:val="18"/>
                <w:highlight w:val="none"/>
                <w:shd w:val="clear" w:color="auto" w:fill="auto"/>
                <w:lang w:val="en-US" w:eastAsia="zh-CN" w:bidi="ar-SA"/>
              </w:rPr>
            </w:pPr>
          </w:p>
        </w:tc>
      </w:tr>
      <w:tr w14:paraId="540DC6F7">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44738B8C">
            <w:pPr>
              <w:keepNext w:val="0"/>
              <w:keepLines w:val="0"/>
              <w:widowControl w:val="0"/>
              <w:suppressLineNumbers w:val="0"/>
              <w:spacing w:before="0" w:beforeAutospacing="0" w:after="0" w:afterAutospacing="0" w:line="280" w:lineRule="exact"/>
              <w:ind w:left="0" w:leftChars="0" w:right="0" w:firstLine="720" w:firstLineChars="40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其中：制造业固定资产投资</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02C6DACC">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055AD77">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40C46CBD">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32762B75">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GK215_2</w:t>
            </w:r>
          </w:p>
        </w:tc>
        <w:tc>
          <w:tcPr>
            <w:tcW w:w="1970" w:type="dxa"/>
            <w:tcBorders>
              <w:top w:val="single" w:color="auto" w:sz="4" w:space="0"/>
              <w:left w:val="single" w:color="auto" w:sz="4" w:space="0"/>
              <w:bottom w:val="single" w:color="auto" w:sz="4" w:space="0"/>
              <w:right w:val="nil"/>
            </w:tcBorders>
            <w:noWrap w:val="0"/>
            <w:vAlign w:val="center"/>
          </w:tcPr>
          <w:p w14:paraId="2EC25E0B">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0"/>
                <w:sz w:val="18"/>
                <w:szCs w:val="18"/>
                <w:highlight w:val="none"/>
                <w:shd w:val="clear" w:color="auto" w:fill="auto"/>
              </w:rPr>
            </w:pPr>
          </w:p>
        </w:tc>
      </w:tr>
      <w:tr w14:paraId="265B0C4A">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01973104">
            <w:pPr>
              <w:keepNext w:val="0"/>
              <w:keepLines w:val="0"/>
              <w:widowControl w:val="0"/>
              <w:suppressLineNumbers w:val="0"/>
              <w:spacing w:before="0" w:beforeAutospacing="0" w:after="0" w:afterAutospacing="0" w:line="280" w:lineRule="exact"/>
              <w:ind w:left="0" w:leftChars="0" w:right="0" w:firstLine="1260" w:firstLineChars="70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其中：制造业民间投资</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05F7EAD7">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14215479">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3BC1EF45">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top"/>
          </w:tcPr>
          <w:p w14:paraId="7588A374">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GK215_3</w:t>
            </w:r>
          </w:p>
        </w:tc>
        <w:tc>
          <w:tcPr>
            <w:tcW w:w="1970" w:type="dxa"/>
            <w:tcBorders>
              <w:top w:val="single" w:color="auto" w:sz="4" w:space="0"/>
              <w:left w:val="single" w:color="auto" w:sz="4" w:space="0"/>
              <w:bottom w:val="single" w:color="auto" w:sz="4" w:space="0"/>
              <w:right w:val="nil"/>
            </w:tcBorders>
            <w:noWrap w:val="0"/>
            <w:vAlign w:val="center"/>
          </w:tcPr>
          <w:p w14:paraId="25AAB976">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0"/>
                <w:sz w:val="18"/>
                <w:szCs w:val="18"/>
                <w:highlight w:val="none"/>
                <w:shd w:val="clear" w:color="auto" w:fill="auto"/>
              </w:rPr>
            </w:pPr>
          </w:p>
        </w:tc>
      </w:tr>
      <w:tr w14:paraId="35145FF4">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3322" w:type="dxa"/>
            <w:tcBorders>
              <w:top w:val="single" w:color="auto" w:sz="4" w:space="0"/>
              <w:left w:val="nil"/>
              <w:bottom w:val="single" w:color="auto" w:sz="4" w:space="0"/>
              <w:right w:val="single" w:color="auto" w:sz="4" w:space="0"/>
            </w:tcBorders>
            <w:noWrap w:val="0"/>
            <w:vAlign w:val="center"/>
          </w:tcPr>
          <w:p w14:paraId="40F0A8F6">
            <w:pPr>
              <w:keepNext w:val="0"/>
              <w:keepLines w:val="0"/>
              <w:widowControl w:val="0"/>
              <w:suppressLineNumbers w:val="0"/>
              <w:spacing w:before="0" w:beforeAutospacing="0" w:after="0" w:afterAutospacing="0" w:line="280" w:lineRule="exact"/>
              <w:ind w:left="0" w:leftChars="0" w:right="0" w:firstLine="1260" w:firstLineChars="700"/>
              <w:jc w:val="both"/>
              <w:rPr>
                <w:rFonts w:hint="eastAsia"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其中：制造业企业技术改造投资</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428BFAE3">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Times New Roman" w:hAnsi="Times New Roman" w:eastAsia="宋体" w:cs="Times New Roman"/>
                <w:bCs/>
                <w:color w:val="auto"/>
                <w:kern w:val="2"/>
                <w:sz w:val="18"/>
                <w:szCs w:val="18"/>
                <w:highlight w:val="none"/>
                <w:shd w:val="clear" w:color="auto" w:fill="auto"/>
                <w:lang w:val="en-US" w:eastAsia="zh-CN"/>
              </w:rPr>
            </w:pPr>
            <w:r>
              <w:rPr>
                <w:rFonts w:hint="eastAsia" w:ascii="Times New Roman" w:hAnsi="Times New Roman" w:cs="Times New Roman"/>
                <w:bCs/>
                <w:color w:val="auto"/>
                <w:kern w:val="2"/>
                <w:sz w:val="18"/>
                <w:szCs w:val="18"/>
                <w:highlight w:val="none"/>
                <w:shd w:val="clear" w:color="auto" w:fill="auto"/>
                <w:lang w:val="en-US" w:eastAsia="zh-CN"/>
              </w:rPr>
              <w:t>千元</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41592E2C">
            <w:pPr>
              <w:keepNext w:val="0"/>
              <w:keepLines w:val="0"/>
              <w:widowControl/>
              <w:suppressLineNumbers w:val="0"/>
              <w:shd w:val="clear" w:color="auto" w:fill="auto"/>
              <w:spacing w:before="0" w:beforeAutospacing="0" w:after="0" w:afterAutospacing="0" w:line="280" w:lineRule="exact"/>
              <w:ind w:left="0" w:leftChars="0" w:right="0" w:right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C5935F6">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val="en-US" w:eastAsia="zh-CN"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w:t>
            </w:r>
          </w:p>
        </w:tc>
        <w:tc>
          <w:tcPr>
            <w:tcW w:w="1160" w:type="dxa"/>
            <w:tcBorders>
              <w:top w:val="single" w:color="auto" w:sz="4" w:space="0"/>
              <w:left w:val="single" w:color="auto" w:sz="4" w:space="0"/>
              <w:bottom w:val="single" w:color="auto" w:sz="4" w:space="0"/>
              <w:right w:val="single" w:color="auto" w:sz="4" w:space="0"/>
            </w:tcBorders>
            <w:noWrap w:val="0"/>
            <w:vAlign w:val="center"/>
          </w:tcPr>
          <w:p w14:paraId="2E7B7502">
            <w:pPr>
              <w:keepNext w:val="0"/>
              <w:keepLines w:val="0"/>
              <w:widowControl/>
              <w:suppressLineNumbers w:val="0"/>
              <w:shd w:val="clear" w:color="auto" w:fill="auto"/>
              <w:spacing w:before="0" w:beforeAutospacing="0" w:after="0" w:afterAutospacing="0" w:line="280" w:lineRule="exact"/>
              <w:ind w:left="0" w:leftChars="0" w:right="0" w:firstLine="0" w:firstLineChars="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GK215_4</w:t>
            </w:r>
          </w:p>
        </w:tc>
        <w:tc>
          <w:tcPr>
            <w:tcW w:w="1970" w:type="dxa"/>
            <w:tcBorders>
              <w:top w:val="single" w:color="auto" w:sz="4" w:space="0"/>
              <w:left w:val="single" w:color="auto" w:sz="4" w:space="0"/>
              <w:bottom w:val="single" w:color="auto" w:sz="4" w:space="0"/>
              <w:right w:val="nil"/>
            </w:tcBorders>
            <w:noWrap w:val="0"/>
            <w:vAlign w:val="center"/>
          </w:tcPr>
          <w:p w14:paraId="5A76B5D5">
            <w:pPr>
              <w:keepNext w:val="0"/>
              <w:keepLines w:val="0"/>
              <w:widowControl w:val="0"/>
              <w:suppressLineNumbers w:val="0"/>
              <w:spacing w:before="0" w:beforeAutospacing="0" w:after="0" w:afterAutospacing="0" w:line="280" w:lineRule="exact"/>
              <w:ind w:left="0" w:leftChars="0" w:right="0" w:firstLine="0" w:firstLineChars="0"/>
              <w:jc w:val="center"/>
              <w:rPr>
                <w:rFonts w:hint="eastAsia" w:ascii="等线" w:hAnsi="等线" w:eastAsia="宋体" w:cs="等线"/>
                <w:bCs/>
                <w:color w:val="auto"/>
                <w:kern w:val="0"/>
                <w:sz w:val="18"/>
                <w:szCs w:val="18"/>
                <w:highlight w:val="none"/>
                <w:shd w:val="clear" w:color="auto" w:fill="auto"/>
              </w:rPr>
            </w:pPr>
          </w:p>
        </w:tc>
      </w:tr>
      <w:tr w14:paraId="6FFB18F1">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1B9C9920">
            <w:pPr>
              <w:keepNext w:val="0"/>
              <w:keepLines w:val="0"/>
              <w:widowControl w:val="0"/>
              <w:suppressLineNumbers w:val="0"/>
              <w:spacing w:before="0" w:beforeAutospacing="0" w:after="0" w:afterAutospacing="0" w:line="280" w:lineRule="exact"/>
              <w:ind w:left="0" w:right="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园区新增注册企业数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7AAF257A">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bCs/>
                <w:color w:val="auto"/>
                <w:sz w:val="18"/>
                <w:szCs w:val="18"/>
                <w:highlight w:val="none"/>
                <w:shd w:val="clear" w:color="auto" w:fill="auto"/>
              </w:rPr>
              <w:t>个</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323ECE97">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GK118</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6FF864C2">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60" w:type="dxa"/>
            <w:tcBorders>
              <w:top w:val="single" w:color="auto" w:sz="4" w:space="0"/>
              <w:left w:val="single" w:color="auto" w:sz="4" w:space="0"/>
              <w:bottom w:val="single" w:color="auto" w:sz="4" w:space="0"/>
              <w:right w:val="single" w:color="auto" w:sz="4" w:space="0"/>
            </w:tcBorders>
            <w:noWrap w:val="0"/>
            <w:vAlign w:val="top"/>
          </w:tcPr>
          <w:p w14:paraId="49ED271F">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GK218</w:t>
            </w:r>
          </w:p>
        </w:tc>
        <w:tc>
          <w:tcPr>
            <w:tcW w:w="1970" w:type="dxa"/>
            <w:tcBorders>
              <w:top w:val="single" w:color="auto" w:sz="4" w:space="0"/>
              <w:left w:val="single" w:color="auto" w:sz="4" w:space="0"/>
              <w:bottom w:val="single" w:color="auto" w:sz="4" w:space="0"/>
              <w:right w:val="nil"/>
            </w:tcBorders>
            <w:noWrap w:val="0"/>
            <w:vAlign w:val="center"/>
          </w:tcPr>
          <w:p w14:paraId="47989C6C">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0"/>
                <w:sz w:val="18"/>
                <w:szCs w:val="18"/>
                <w:highlight w:val="none"/>
                <w:shd w:val="clear" w:color="auto" w:fill="auto"/>
              </w:rPr>
            </w:pPr>
          </w:p>
        </w:tc>
      </w:tr>
      <w:tr w14:paraId="3B445F6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4" w:space="0"/>
              <w:right w:val="single" w:color="auto" w:sz="4" w:space="0"/>
            </w:tcBorders>
            <w:noWrap w:val="0"/>
            <w:vAlign w:val="center"/>
          </w:tcPr>
          <w:p w14:paraId="74917DCD">
            <w:pPr>
              <w:keepNext w:val="0"/>
              <w:keepLines w:val="0"/>
              <w:widowControl w:val="0"/>
              <w:suppressLineNumbers w:val="0"/>
              <w:spacing w:before="0" w:beforeAutospacing="0" w:after="0" w:afterAutospacing="0" w:line="280" w:lineRule="exact"/>
              <w:ind w:left="0" w:right="0" w:firstLine="360" w:firstLineChars="20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其中：民营企业数</w:t>
            </w:r>
          </w:p>
        </w:tc>
        <w:tc>
          <w:tcPr>
            <w:tcW w:w="600" w:type="dxa"/>
            <w:tcBorders>
              <w:top w:val="single" w:color="auto" w:sz="4" w:space="0"/>
              <w:left w:val="single" w:color="auto" w:sz="4" w:space="0"/>
              <w:bottom w:val="single" w:color="auto" w:sz="4" w:space="0"/>
              <w:right w:val="single" w:color="auto" w:sz="4" w:space="0"/>
            </w:tcBorders>
            <w:noWrap w:val="0"/>
            <w:vAlign w:val="center"/>
          </w:tcPr>
          <w:p w14:paraId="7AF94DEC">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bCs/>
                <w:color w:val="auto"/>
                <w:sz w:val="18"/>
                <w:szCs w:val="18"/>
                <w:highlight w:val="none"/>
                <w:shd w:val="clear" w:color="auto" w:fill="auto"/>
              </w:rPr>
              <w:t>个</w:t>
            </w:r>
          </w:p>
        </w:tc>
        <w:tc>
          <w:tcPr>
            <w:tcW w:w="953" w:type="dxa"/>
            <w:tcBorders>
              <w:top w:val="single" w:color="auto" w:sz="4" w:space="0"/>
              <w:left w:val="single" w:color="auto" w:sz="4" w:space="0"/>
              <w:bottom w:val="single" w:color="auto" w:sz="4" w:space="0"/>
              <w:right w:val="single" w:color="auto" w:sz="4" w:space="0"/>
            </w:tcBorders>
            <w:noWrap w:val="0"/>
            <w:vAlign w:val="center"/>
          </w:tcPr>
          <w:p w14:paraId="60959155">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GK118_1</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7679B83D">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60" w:type="dxa"/>
            <w:tcBorders>
              <w:top w:val="single" w:color="auto" w:sz="4" w:space="0"/>
              <w:left w:val="single" w:color="auto" w:sz="4" w:space="0"/>
              <w:bottom w:val="single" w:color="auto" w:sz="4" w:space="0"/>
              <w:right w:val="single" w:color="auto" w:sz="4" w:space="0"/>
            </w:tcBorders>
            <w:noWrap w:val="0"/>
            <w:vAlign w:val="top"/>
          </w:tcPr>
          <w:p w14:paraId="53970B13">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GK218_1</w:t>
            </w:r>
          </w:p>
        </w:tc>
        <w:tc>
          <w:tcPr>
            <w:tcW w:w="1970" w:type="dxa"/>
            <w:tcBorders>
              <w:top w:val="single" w:color="auto" w:sz="4" w:space="0"/>
              <w:left w:val="single" w:color="auto" w:sz="4" w:space="0"/>
              <w:bottom w:val="single" w:color="auto" w:sz="4" w:space="0"/>
              <w:right w:val="nil"/>
            </w:tcBorders>
            <w:noWrap w:val="0"/>
            <w:vAlign w:val="center"/>
          </w:tcPr>
          <w:p w14:paraId="7A461BAF">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0"/>
                <w:sz w:val="18"/>
                <w:szCs w:val="18"/>
                <w:highlight w:val="none"/>
                <w:shd w:val="clear" w:color="auto" w:fill="auto"/>
              </w:rPr>
            </w:pPr>
          </w:p>
        </w:tc>
      </w:tr>
      <w:tr w14:paraId="59188DCC">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322" w:type="dxa"/>
            <w:tcBorders>
              <w:top w:val="single" w:color="auto" w:sz="4" w:space="0"/>
              <w:left w:val="nil"/>
              <w:bottom w:val="single" w:color="auto" w:sz="8" w:space="0"/>
              <w:right w:val="single" w:color="auto" w:sz="4" w:space="0"/>
            </w:tcBorders>
            <w:noWrap w:val="0"/>
            <w:vAlign w:val="center"/>
          </w:tcPr>
          <w:p w14:paraId="058B377F">
            <w:pPr>
              <w:keepNext w:val="0"/>
              <w:keepLines w:val="0"/>
              <w:widowControl w:val="0"/>
              <w:suppressLineNumbers w:val="0"/>
              <w:spacing w:before="0" w:beforeAutospacing="0" w:after="0" w:afterAutospacing="0" w:line="280" w:lineRule="exact"/>
              <w:ind w:left="0" w:right="0" w:firstLine="360" w:firstLineChars="200"/>
              <w:jc w:val="both"/>
              <w:rPr>
                <w:rFonts w:hint="default" w:ascii="Times New Roman" w:hAnsi="Times New Roman" w:eastAsia="宋体" w:cs="Times New Roman"/>
                <w:bCs/>
                <w:color w:val="auto"/>
                <w:kern w:val="2"/>
                <w:sz w:val="18"/>
                <w:szCs w:val="18"/>
                <w:highlight w:val="none"/>
                <w:shd w:val="clear" w:color="auto" w:fill="auto"/>
              </w:rPr>
            </w:pPr>
            <w:r>
              <w:rPr>
                <w:rFonts w:hint="eastAsia" w:ascii="宋体" w:hAnsi="宋体" w:eastAsia="宋体" w:cs="宋体"/>
                <w:bCs/>
                <w:color w:val="auto"/>
                <w:kern w:val="2"/>
                <w:sz w:val="18"/>
                <w:szCs w:val="18"/>
                <w:highlight w:val="none"/>
                <w:shd w:val="clear" w:color="auto" w:fill="auto"/>
                <w:lang w:val="en-US" w:eastAsia="zh-CN" w:bidi="ar"/>
              </w:rPr>
              <w:t>其中：外资（含港澳台）企业数</w:t>
            </w:r>
          </w:p>
        </w:tc>
        <w:tc>
          <w:tcPr>
            <w:tcW w:w="600" w:type="dxa"/>
            <w:tcBorders>
              <w:top w:val="single" w:color="auto" w:sz="4" w:space="0"/>
              <w:left w:val="single" w:color="auto" w:sz="4" w:space="0"/>
              <w:bottom w:val="single" w:color="auto" w:sz="8" w:space="0"/>
              <w:right w:val="single" w:color="auto" w:sz="4" w:space="0"/>
            </w:tcBorders>
            <w:noWrap w:val="0"/>
            <w:vAlign w:val="center"/>
          </w:tcPr>
          <w:p w14:paraId="204C92AD">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宋体" w:cs="Times New Roman"/>
                <w:bCs/>
                <w:color w:val="auto"/>
                <w:kern w:val="2"/>
                <w:sz w:val="18"/>
                <w:szCs w:val="18"/>
                <w:highlight w:val="none"/>
                <w:shd w:val="clear" w:color="auto" w:fill="auto"/>
              </w:rPr>
            </w:pPr>
            <w:r>
              <w:rPr>
                <w:rFonts w:hint="eastAsia"/>
                <w:bCs/>
                <w:color w:val="auto"/>
                <w:sz w:val="18"/>
                <w:szCs w:val="18"/>
                <w:highlight w:val="none"/>
                <w:shd w:val="clear" w:color="auto" w:fill="auto"/>
              </w:rPr>
              <w:t>个</w:t>
            </w:r>
          </w:p>
        </w:tc>
        <w:tc>
          <w:tcPr>
            <w:tcW w:w="953" w:type="dxa"/>
            <w:tcBorders>
              <w:top w:val="single" w:color="auto" w:sz="4" w:space="0"/>
              <w:left w:val="single" w:color="auto" w:sz="4" w:space="0"/>
              <w:bottom w:val="single" w:color="auto" w:sz="8" w:space="0"/>
              <w:right w:val="single" w:color="auto" w:sz="4" w:space="0"/>
            </w:tcBorders>
            <w:noWrap w:val="0"/>
            <w:vAlign w:val="center"/>
          </w:tcPr>
          <w:p w14:paraId="28CB2F48">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GK118_2</w:t>
            </w:r>
          </w:p>
        </w:tc>
        <w:tc>
          <w:tcPr>
            <w:tcW w:w="1400" w:type="dxa"/>
            <w:tcBorders>
              <w:top w:val="single" w:color="auto" w:sz="4" w:space="0"/>
              <w:left w:val="single" w:color="auto" w:sz="4" w:space="0"/>
              <w:bottom w:val="single" w:color="auto" w:sz="8" w:space="0"/>
              <w:right w:val="single" w:color="auto" w:sz="4" w:space="0"/>
            </w:tcBorders>
            <w:noWrap w:val="0"/>
            <w:vAlign w:val="center"/>
          </w:tcPr>
          <w:p w14:paraId="6721B5F8">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p>
        </w:tc>
        <w:tc>
          <w:tcPr>
            <w:tcW w:w="1160" w:type="dxa"/>
            <w:tcBorders>
              <w:top w:val="single" w:color="auto" w:sz="4" w:space="0"/>
              <w:left w:val="single" w:color="auto" w:sz="4" w:space="0"/>
              <w:bottom w:val="single" w:color="auto" w:sz="8" w:space="0"/>
              <w:right w:val="single" w:color="auto" w:sz="4" w:space="0"/>
            </w:tcBorders>
            <w:noWrap w:val="0"/>
            <w:vAlign w:val="top"/>
          </w:tcPr>
          <w:p w14:paraId="57D748CD">
            <w:pPr>
              <w:keepNext w:val="0"/>
              <w:keepLines w:val="0"/>
              <w:widowControl/>
              <w:suppressLineNumbers w:val="0"/>
              <w:shd w:val="clear" w:color="auto" w:fill="auto"/>
              <w:spacing w:before="0" w:beforeAutospacing="0" w:after="0" w:afterAutospacing="0" w:line="280" w:lineRule="exact"/>
              <w:ind w:left="0" w:right="0"/>
              <w:jc w:val="center"/>
              <w:rPr>
                <w:rFonts w:hint="default" w:ascii="Times New Roman" w:hAnsi="Times New Roman" w:eastAsia="宋体" w:cs="Times New Roman"/>
                <w:bCs/>
                <w:color w:val="auto"/>
                <w:kern w:val="0"/>
                <w:sz w:val="18"/>
                <w:szCs w:val="18"/>
                <w:highlight w:val="none"/>
                <w:shd w:val="clear" w:color="auto" w:fill="auto"/>
                <w:lang w:bidi="ar"/>
              </w:rPr>
            </w:pPr>
            <w:r>
              <w:rPr>
                <w:rFonts w:hint="default" w:ascii="Times New Roman" w:hAnsi="Times New Roman" w:eastAsia="宋体" w:cs="Times New Roman"/>
                <w:bCs/>
                <w:color w:val="auto"/>
                <w:kern w:val="0"/>
                <w:sz w:val="18"/>
                <w:szCs w:val="18"/>
                <w:highlight w:val="none"/>
                <w:shd w:val="clear" w:color="auto" w:fill="auto"/>
                <w:lang w:val="en-US" w:eastAsia="zh-CN" w:bidi="ar"/>
              </w:rPr>
              <w:t>GK218_2</w:t>
            </w:r>
          </w:p>
        </w:tc>
        <w:tc>
          <w:tcPr>
            <w:tcW w:w="1970" w:type="dxa"/>
            <w:tcBorders>
              <w:top w:val="single" w:color="auto" w:sz="4" w:space="0"/>
              <w:left w:val="single" w:color="auto" w:sz="4" w:space="0"/>
              <w:bottom w:val="single" w:color="auto" w:sz="8" w:space="0"/>
              <w:right w:val="nil"/>
            </w:tcBorders>
            <w:noWrap w:val="0"/>
            <w:vAlign w:val="center"/>
          </w:tcPr>
          <w:p w14:paraId="7A92A7D0">
            <w:pPr>
              <w:keepNext w:val="0"/>
              <w:keepLines w:val="0"/>
              <w:widowControl w:val="0"/>
              <w:suppressLineNumbers w:val="0"/>
              <w:spacing w:before="0" w:beforeAutospacing="0" w:after="0" w:afterAutospacing="0" w:line="280" w:lineRule="exact"/>
              <w:ind w:left="0" w:right="0"/>
              <w:jc w:val="center"/>
              <w:rPr>
                <w:rFonts w:hint="eastAsia" w:ascii="等线" w:hAnsi="等线" w:eastAsia="宋体" w:cs="等线"/>
                <w:bCs/>
                <w:color w:val="auto"/>
                <w:kern w:val="0"/>
                <w:sz w:val="18"/>
                <w:szCs w:val="18"/>
                <w:highlight w:val="none"/>
                <w:shd w:val="clear" w:color="auto" w:fill="auto"/>
              </w:rPr>
            </w:pPr>
          </w:p>
        </w:tc>
      </w:tr>
    </w:tbl>
    <w:p w14:paraId="7B9AAB86">
      <w:pPr>
        <w:keepNext w:val="0"/>
        <w:keepLines w:val="0"/>
        <w:widowControl w:val="0"/>
        <w:suppressLineNumbers w:val="0"/>
        <w:snapToGrid w:val="0"/>
        <w:spacing w:before="0" w:beforeAutospacing="0" w:after="0" w:afterAutospacing="0" w:line="280" w:lineRule="exact"/>
        <w:ind w:left="0" w:right="-533" w:rightChars="-254" w:firstLine="180" w:firstLineChars="100"/>
        <w:jc w:val="left"/>
        <w:rPr>
          <w:rFonts w:hint="default" w:ascii="Times New Roman" w:hAnsi="Times New Roman" w:eastAsia="宋体" w:cs="Times New Roman"/>
          <w:bCs/>
          <w:color w:val="auto"/>
          <w:kern w:val="2"/>
          <w:sz w:val="21"/>
          <w:szCs w:val="21"/>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0FE01584">
      <w:pPr>
        <w:keepNext w:val="0"/>
        <w:keepLines w:val="0"/>
        <w:widowControl w:val="0"/>
        <w:suppressLineNumbers w:val="0"/>
        <w:spacing w:before="0" w:beforeAutospacing="0" w:after="0" w:afterAutospacing="0"/>
        <w:ind w:left="0" w:right="0"/>
        <w:jc w:val="left"/>
        <w:rPr>
          <w:rFonts w:hint="eastAsia" w:ascii="宋体" w:hAnsi="宋体" w:eastAsia="宋体" w:cs="宋体"/>
          <w:bCs/>
          <w:color w:val="auto"/>
          <w:kern w:val="2"/>
          <w:sz w:val="18"/>
          <w:szCs w:val="18"/>
          <w:highlight w:val="none"/>
          <w:lang w:val="en-US" w:eastAsia="zh-CN" w:bidi="ar"/>
        </w:rPr>
      </w:pPr>
    </w:p>
    <w:p w14:paraId="68A8C504">
      <w:pPr>
        <w:keepNext w:val="0"/>
        <w:keepLines w:val="0"/>
        <w:widowControl w:val="0"/>
        <w:suppressLineNumbers w:val="0"/>
        <w:spacing w:before="0" w:beforeAutospacing="0" w:after="0" w:afterAutospacing="0" w:line="360" w:lineRule="exact"/>
        <w:ind w:left="540" w:leftChars="0" w:right="0" w:hanging="540" w:hangingChars="300"/>
        <w:jc w:val="left"/>
        <w:rPr>
          <w:rFonts w:hint="eastAsia" w:ascii="宋体" w:hAnsi="宋体" w:eastAsia="宋体" w:cs="宋体"/>
          <w:bCs/>
          <w:color w:val="auto"/>
          <w:kern w:val="0"/>
          <w:sz w:val="18"/>
          <w:szCs w:val="18"/>
          <w:highlight w:val="none"/>
          <w:lang w:bidi="ar"/>
        </w:rPr>
      </w:pPr>
      <w:r>
        <w:rPr>
          <w:rFonts w:hint="eastAsia" w:ascii="宋体" w:hAnsi="宋体" w:eastAsia="宋体" w:cs="宋体"/>
          <w:bCs/>
          <w:color w:val="auto"/>
          <w:kern w:val="2"/>
          <w:sz w:val="18"/>
          <w:szCs w:val="18"/>
          <w:highlight w:val="none"/>
          <w:lang w:val="en-US" w:eastAsia="zh-CN" w:bidi="ar"/>
        </w:rPr>
        <w:t>说明：</w:t>
      </w:r>
      <w:r>
        <w:rPr>
          <w:rFonts w:hint="default" w:ascii="Times New Roman" w:hAnsi="Times New Roman" w:eastAsia="宋体" w:cs="Times New Roman"/>
          <w:bCs/>
          <w:color w:val="auto"/>
          <w:kern w:val="0"/>
          <w:sz w:val="18"/>
          <w:szCs w:val="18"/>
          <w:highlight w:val="none"/>
          <w:lang w:val="en-US" w:eastAsia="zh-CN" w:bidi="ar"/>
        </w:rPr>
        <w:t>1</w:t>
      </w:r>
      <w:r>
        <w:rPr>
          <w:rFonts w:hint="eastAsia" w:ascii="宋体" w:hAnsi="宋体" w:eastAsia="宋体" w:cs="宋体"/>
          <w:bCs/>
          <w:color w:val="auto"/>
          <w:kern w:val="0"/>
          <w:sz w:val="18"/>
          <w:szCs w:val="18"/>
          <w:highlight w:val="none"/>
          <w:lang w:val="en-US" w:eastAsia="zh-CN" w:bidi="ar"/>
        </w:rPr>
        <w:t>.月报由国家高新区管委会汇总每月1日至月末高新区火炬统计口径企业和园区全口径情况填报。每年仅报送2-11月的月报，1月、12月免报。</w:t>
      </w:r>
    </w:p>
    <w:p w14:paraId="7F25A251">
      <w:pPr>
        <w:keepNext w:val="0"/>
        <w:keepLines w:val="0"/>
        <w:widowControl w:val="0"/>
        <w:suppressLineNumbers w:val="0"/>
        <w:spacing w:before="0" w:beforeAutospacing="0" w:after="0" w:afterAutospacing="0" w:line="360" w:lineRule="exact"/>
        <w:ind w:left="535" w:leftChars="255" w:right="0" w:firstLine="0" w:firstLineChars="0"/>
        <w:jc w:val="left"/>
        <w:rPr>
          <w:rFonts w:hint="eastAsia" w:ascii="宋体" w:hAnsi="宋体" w:eastAsia="宋体" w:cs="宋体"/>
          <w:bCs/>
          <w:color w:val="auto"/>
          <w:kern w:val="0"/>
          <w:sz w:val="18"/>
          <w:szCs w:val="18"/>
          <w:highlight w:val="none"/>
          <w:lang w:bidi="ar"/>
        </w:rPr>
      </w:pPr>
      <w:r>
        <w:rPr>
          <w:rFonts w:hint="eastAsia" w:ascii="宋体" w:hAnsi="宋体" w:eastAsia="宋体" w:cs="宋体"/>
          <w:bCs/>
          <w:color w:val="auto"/>
          <w:kern w:val="0"/>
          <w:sz w:val="18"/>
          <w:szCs w:val="18"/>
          <w:highlight w:val="none"/>
          <w:lang w:val="en-US" w:eastAsia="zh-CN" w:bidi="ar"/>
        </w:rPr>
        <w:t>2.规模以上工业企业、规模以上服务业企业与国家统计局相关标准一致。</w:t>
      </w:r>
    </w:p>
    <w:p w14:paraId="4B43FF57">
      <w:pPr>
        <w:keepNext w:val="0"/>
        <w:keepLines w:val="0"/>
        <w:widowControl w:val="0"/>
        <w:suppressLineNumbers w:val="0"/>
        <w:spacing w:before="0" w:beforeAutospacing="0" w:after="0" w:afterAutospacing="0" w:line="360" w:lineRule="exact"/>
        <w:ind w:left="535" w:leftChars="255" w:right="0" w:firstLine="0" w:firstLineChars="0"/>
        <w:jc w:val="left"/>
        <w:rPr>
          <w:rFonts w:hint="eastAsia" w:ascii="宋体" w:hAnsi="宋体" w:eastAsia="宋体" w:cs="宋体"/>
          <w:bCs/>
          <w:color w:val="auto"/>
          <w:kern w:val="0"/>
          <w:sz w:val="18"/>
          <w:szCs w:val="18"/>
          <w:highlight w:val="none"/>
          <w:lang w:bidi="ar"/>
        </w:rPr>
      </w:pPr>
      <w:r>
        <w:rPr>
          <w:rFonts w:hint="eastAsia" w:ascii="宋体" w:hAnsi="宋体" w:eastAsia="宋体" w:cs="宋体"/>
          <w:bCs/>
          <w:color w:val="auto"/>
          <w:kern w:val="0"/>
          <w:sz w:val="18"/>
          <w:szCs w:val="18"/>
          <w:highlight w:val="none"/>
          <w:lang w:val="en-US" w:eastAsia="zh-CN" w:bidi="ar"/>
        </w:rPr>
        <w:t>3.本表请各国家高新区务必于报告期次月15日前，将审核后的“工业销售产值”“综合能源消费量”“工业生产电力消费”“</w:t>
      </w:r>
      <w:r>
        <w:rPr>
          <w:rFonts w:hint="eastAsia" w:ascii="宋体" w:hAnsi="宋体" w:eastAsia="宋体" w:cs="宋体"/>
          <w:bCs/>
          <w:color w:val="auto"/>
          <w:kern w:val="0"/>
          <w:sz w:val="18"/>
          <w:szCs w:val="18"/>
          <w:highlight w:val="none"/>
          <w:lang w:bidi="ar"/>
        </w:rPr>
        <w:t>工业固定资产投资</w:t>
      </w:r>
      <w:r>
        <w:rPr>
          <w:rFonts w:hint="eastAsia" w:ascii="宋体" w:hAnsi="宋体" w:eastAsia="宋体" w:cs="宋体"/>
          <w:bCs/>
          <w:color w:val="auto"/>
          <w:kern w:val="0"/>
          <w:sz w:val="18"/>
          <w:szCs w:val="18"/>
          <w:highlight w:val="none"/>
          <w:lang w:val="en-US" w:eastAsia="zh-CN" w:bidi="ar"/>
        </w:rPr>
        <w:t>”“</w:t>
      </w:r>
      <w:r>
        <w:rPr>
          <w:rFonts w:hint="eastAsia" w:ascii="宋体" w:hAnsi="宋体" w:eastAsia="宋体" w:cs="宋体"/>
          <w:bCs/>
          <w:color w:val="auto"/>
          <w:kern w:val="0"/>
          <w:sz w:val="18"/>
          <w:szCs w:val="18"/>
          <w:highlight w:val="none"/>
          <w:lang w:bidi="ar"/>
        </w:rPr>
        <w:t>规模以上工业总产值</w:t>
      </w:r>
      <w:r>
        <w:rPr>
          <w:rFonts w:hint="eastAsia" w:ascii="宋体" w:hAnsi="宋体" w:eastAsia="宋体" w:cs="宋体"/>
          <w:bCs/>
          <w:color w:val="auto"/>
          <w:kern w:val="0"/>
          <w:sz w:val="18"/>
          <w:szCs w:val="18"/>
          <w:highlight w:val="none"/>
          <w:lang w:val="en-US" w:eastAsia="zh-CN" w:bidi="ar"/>
        </w:rPr>
        <w:t>”“</w:t>
      </w:r>
      <w:r>
        <w:rPr>
          <w:rFonts w:hint="eastAsia" w:ascii="宋体" w:hAnsi="宋体" w:eastAsia="宋体" w:cs="宋体"/>
          <w:bCs/>
          <w:color w:val="auto"/>
          <w:kern w:val="0"/>
          <w:sz w:val="18"/>
          <w:szCs w:val="18"/>
          <w:highlight w:val="none"/>
          <w:lang w:bidi="ar"/>
        </w:rPr>
        <w:t>规模以上工业企业营业收入</w:t>
      </w:r>
      <w:r>
        <w:rPr>
          <w:rFonts w:hint="eastAsia" w:ascii="宋体" w:hAnsi="宋体" w:eastAsia="宋体" w:cs="宋体"/>
          <w:bCs/>
          <w:color w:val="auto"/>
          <w:kern w:val="0"/>
          <w:sz w:val="18"/>
          <w:szCs w:val="18"/>
          <w:highlight w:val="none"/>
          <w:lang w:val="en-US" w:eastAsia="zh-CN" w:bidi="ar"/>
        </w:rPr>
        <w:t>”“</w:t>
      </w:r>
      <w:r>
        <w:rPr>
          <w:rFonts w:hint="eastAsia" w:ascii="宋体" w:hAnsi="宋体" w:eastAsia="宋体" w:cs="宋体"/>
          <w:bCs/>
          <w:color w:val="auto"/>
          <w:kern w:val="0"/>
          <w:sz w:val="18"/>
          <w:szCs w:val="18"/>
          <w:highlight w:val="none"/>
          <w:lang w:bidi="ar"/>
        </w:rPr>
        <w:t>规模以上工业企业出口总额</w:t>
      </w:r>
      <w:r>
        <w:rPr>
          <w:rFonts w:hint="eastAsia" w:ascii="宋体" w:hAnsi="宋体" w:eastAsia="宋体" w:cs="宋体"/>
          <w:bCs/>
          <w:color w:val="auto"/>
          <w:kern w:val="0"/>
          <w:sz w:val="18"/>
          <w:szCs w:val="18"/>
          <w:highlight w:val="none"/>
          <w:lang w:val="en-US" w:eastAsia="zh-CN" w:bidi="ar"/>
        </w:rPr>
        <w:t>”指标通过工业和信息化部火炬统计调查信息系统填报，同时将领导签字盖章的纸件作为附件上传。其余指标于报告期次月25日前提交，要求同前。</w:t>
      </w:r>
    </w:p>
    <w:p w14:paraId="70C8CF59">
      <w:pPr>
        <w:keepNext w:val="0"/>
        <w:keepLines w:val="0"/>
        <w:widowControl w:val="0"/>
        <w:suppressLineNumbers w:val="0"/>
        <w:spacing w:before="0" w:beforeAutospacing="0" w:after="0" w:afterAutospacing="0" w:line="360" w:lineRule="exact"/>
        <w:ind w:left="420" w:leftChars="200" w:right="0"/>
        <w:jc w:val="both"/>
        <w:rPr>
          <w:rFonts w:hint="default" w:ascii="Times New Roman" w:hAnsi="Times New Roman"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lang w:val="en-US" w:eastAsia="zh-CN" w:bidi="ar"/>
        </w:rPr>
        <w:t>4</w:t>
      </w:r>
      <w:r>
        <w:rPr>
          <w:rFonts w:hint="default" w:ascii="Times New Roman" w:hAnsi="Times New Roman" w:eastAsia="宋体" w:cs="Times New Roman"/>
          <w:bCs/>
          <w:color w:val="auto"/>
          <w:kern w:val="2"/>
          <w:sz w:val="18"/>
          <w:szCs w:val="18"/>
          <w:highlight w:val="none"/>
          <w:lang w:val="en-US" w:eastAsia="zh-CN" w:bidi="ar"/>
        </w:rPr>
        <w:t>.</w:t>
      </w:r>
      <w:r>
        <w:rPr>
          <w:rFonts w:hint="eastAsia" w:ascii="宋体" w:hAnsi="宋体" w:eastAsia="宋体" w:cs="宋体"/>
          <w:bCs/>
          <w:color w:val="auto"/>
          <w:kern w:val="2"/>
          <w:sz w:val="18"/>
          <w:szCs w:val="18"/>
          <w:highlight w:val="none"/>
          <w:lang w:val="en-US" w:eastAsia="zh-CN" w:bidi="ar"/>
        </w:rPr>
        <w:t>审核关系：</w:t>
      </w:r>
    </w:p>
    <w:p w14:paraId="5E67FB63">
      <w:pPr>
        <w:keepNext w:val="0"/>
        <w:keepLines w:val="0"/>
        <w:widowControl w:val="0"/>
        <w:suppressLineNumbers w:val="0"/>
        <w:spacing w:before="0" w:beforeAutospacing="0" w:after="0" w:afterAutospacing="0" w:line="360" w:lineRule="exact"/>
        <w:ind w:left="420" w:leftChars="200" w:right="0"/>
        <w:jc w:val="both"/>
        <w:rPr>
          <w:rFonts w:hint="default" w:ascii="Calibri" w:hAnsi="Calibri"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lang w:val="en-US" w:eastAsia="zh-CN" w:bidi="ar"/>
        </w:rPr>
        <w:t>（1）GK201≥GK201_1          （2）GK205≥GK207          （3）GKGDP2≥GKGDP2_1+GKGDP2_2</w:t>
      </w:r>
      <w:r>
        <w:rPr>
          <w:rFonts w:hint="default" w:ascii="Calibri" w:hAnsi="Calibri" w:eastAsia="宋体" w:cs="Times New Roman"/>
          <w:bCs/>
          <w:color w:val="auto"/>
          <w:kern w:val="2"/>
          <w:sz w:val="18"/>
          <w:szCs w:val="18"/>
          <w:highlight w:val="none"/>
          <w:lang w:val="en-US" w:eastAsia="zh-CN" w:bidi="ar"/>
        </w:rPr>
        <w:t xml:space="preserve">    </w:t>
      </w:r>
    </w:p>
    <w:p w14:paraId="3236A95D">
      <w:pPr>
        <w:keepNext w:val="0"/>
        <w:keepLines w:val="0"/>
        <w:widowControl w:val="0"/>
        <w:suppressLineNumbers w:val="0"/>
        <w:spacing w:before="0" w:beforeAutospacing="0" w:after="0" w:afterAutospacing="0" w:line="360" w:lineRule="exact"/>
        <w:ind w:left="420" w:leftChars="200" w:right="0"/>
        <w:jc w:val="both"/>
        <w:rPr>
          <w:rFonts w:hint="default" w:ascii="Calibri" w:hAnsi="Calibri"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lang w:val="en-US" w:eastAsia="zh-CN" w:bidi="ar"/>
        </w:rPr>
        <w:t>（4）GKGDP2_1≥GK203        （5）GK224≥GK224_1        （6）GK215≥GK215_1</w:t>
      </w:r>
    </w:p>
    <w:p w14:paraId="595346C0">
      <w:pPr>
        <w:keepNext w:val="0"/>
        <w:keepLines w:val="0"/>
        <w:widowControl w:val="0"/>
        <w:suppressLineNumbers w:val="0"/>
        <w:spacing w:before="0" w:beforeAutospacing="0" w:after="0" w:afterAutospacing="0" w:line="360" w:lineRule="exact"/>
        <w:ind w:left="420" w:leftChars="200" w:right="0"/>
        <w:jc w:val="both"/>
        <w:rPr>
          <w:rFonts w:hint="default" w:ascii="Calibri" w:hAnsi="Calibri"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lang w:val="en-US" w:eastAsia="zh-CN" w:bidi="ar"/>
        </w:rPr>
        <w:t>（7）GK118≥GK118_1          （8）GK118≥GK118_2        （9）GK218≥GK218_1</w:t>
      </w:r>
    </w:p>
    <w:p w14:paraId="451BFEBC">
      <w:pPr>
        <w:keepNext w:val="0"/>
        <w:keepLines w:val="0"/>
        <w:widowControl w:val="0"/>
        <w:suppressLineNumbers w:val="0"/>
        <w:spacing w:before="0" w:beforeAutospacing="0" w:after="0" w:afterAutospacing="0" w:line="360" w:lineRule="exact"/>
        <w:ind w:left="420" w:leftChars="200" w:right="0"/>
        <w:jc w:val="both"/>
        <w:rPr>
          <w:rFonts w:hint="default" w:ascii="Calibri" w:hAnsi="Calibri"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lang w:val="en-US" w:eastAsia="zh-CN" w:bidi="ar"/>
        </w:rPr>
        <w:t>（10）GK218≥GK218_2         （11）GK223_0≥GK223</w:t>
      </w:r>
    </w:p>
    <w:p w14:paraId="0E90672B">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b/>
          <w:bCs w:val="0"/>
          <w:color w:val="auto"/>
          <w:kern w:val="2"/>
          <w:sz w:val="32"/>
          <w:szCs w:val="32"/>
          <w:highlight w:val="none"/>
        </w:rPr>
      </w:pPr>
      <w:r>
        <w:rPr>
          <w:rFonts w:hint="default" w:ascii="Times New Roman" w:hAnsi="Times New Roman" w:eastAsia="宋体" w:cs="Times New Roman"/>
          <w:bCs/>
          <w:color w:val="auto"/>
          <w:kern w:val="2"/>
          <w:sz w:val="21"/>
          <w:szCs w:val="21"/>
          <w:highlight w:val="none"/>
          <w:lang w:val="en-US" w:eastAsia="zh-CN" w:bidi="ar"/>
        </w:rPr>
        <w:br w:type="page"/>
      </w:r>
      <w:r>
        <w:rPr>
          <w:rFonts w:hint="eastAsia" w:ascii="黑体" w:hAnsi="黑体" w:eastAsia="黑体" w:cs="黑体"/>
          <w:b w:val="0"/>
          <w:bCs/>
          <w:color w:val="auto"/>
          <w:kern w:val="0"/>
          <w:sz w:val="32"/>
          <w:szCs w:val="32"/>
          <w:highlight w:val="none"/>
          <w:lang w:val="en-US" w:eastAsia="zh-CN" w:bidi="ar-SA"/>
        </w:rPr>
        <w:t>指标解释</w:t>
      </w:r>
    </w:p>
    <w:p w14:paraId="1A72B54B">
      <w:pPr>
        <w:rPr>
          <w:rFonts w:hint="default"/>
          <w:color w:val="auto"/>
          <w:highlight w:val="none"/>
        </w:rPr>
      </w:pPr>
      <w:r>
        <w:rPr>
          <w:rFonts w:hint="default"/>
          <w:color w:val="auto"/>
          <w:highlight w:val="none"/>
        </w:rPr>
        <w:t xml:space="preserve"> </w:t>
      </w:r>
    </w:p>
    <w:p w14:paraId="3A35E82E">
      <w:pPr>
        <w:keepNext w:val="0"/>
        <w:keepLines w:val="0"/>
        <w:widowControl w:val="0"/>
        <w:suppressLineNumbers w:val="0"/>
        <w:spacing w:before="0" w:beforeAutospacing="0" w:after="0" w:afterAutospacing="0" w:line="400" w:lineRule="exact"/>
        <w:ind w:left="0" w:right="0" w:firstLine="420" w:firstLineChars="200"/>
        <w:jc w:val="both"/>
        <w:rPr>
          <w:rFonts w:hint="default" w:ascii="Calibri" w:hAnsi="Calibri"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火炬统计口径企业</w:t>
      </w:r>
      <w:r>
        <w:rPr>
          <w:rFonts w:hint="eastAsia" w:ascii="宋体" w:hAnsi="宋体" w:eastAsia="宋体" w:cs="宋体"/>
          <w:bCs/>
          <w:color w:val="auto"/>
          <w:kern w:val="2"/>
          <w:sz w:val="21"/>
          <w:szCs w:val="21"/>
          <w:highlight w:val="none"/>
          <w:lang w:val="en-US" w:eastAsia="zh-CN" w:bidi="ar"/>
        </w:rPr>
        <w:t>指在国家高新区范围注册的具有独立核算法人资格的以下几类企业：经省、自治区、直辖市、计划单列市高新技术企业认定管理机构认定，并经全国高新技术企业认定管理工作领导小组备案，获得高新技术企业证书，且证书于报告期年底尚在有效期内的企业；全部工业企业；应用高技术进行设计、施工以及技术装备的建筑业企业；符合国家统计局《高技术产业（服务业）分类（2018）》《国家科技服务业统计分类（2018）》《生产性服务业统计分类（2019）》的服务业企业；符合国家统计局《文化及相关产业分类（2018）》的企业；全部境内外上市企业及新三板、地方四板挂牌企业。</w:t>
      </w:r>
    </w:p>
    <w:p w14:paraId="492A8613">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工业总产值</w:t>
      </w:r>
      <w:r>
        <w:rPr>
          <w:rFonts w:hint="eastAsia" w:ascii="宋体" w:hAnsi="宋体" w:eastAsia="宋体" w:cs="宋体"/>
          <w:bCs/>
          <w:color w:val="auto"/>
          <w:kern w:val="2"/>
          <w:sz w:val="21"/>
          <w:szCs w:val="21"/>
          <w:highlight w:val="none"/>
          <w:lang w:val="en-US" w:eastAsia="zh-CN" w:bidi="ar"/>
        </w:rPr>
        <w:t>指工业企业在报告期内生产的以货币形式表现的工业最终产品和提供工业劳务活动的总价值量。</w:t>
      </w:r>
    </w:p>
    <w:p w14:paraId="5E41DEB6">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营业收入</w:t>
      </w:r>
      <w:r>
        <w:rPr>
          <w:rFonts w:hint="eastAsia" w:ascii="宋体" w:hAnsi="宋体" w:eastAsia="宋体" w:cs="宋体"/>
          <w:bCs/>
          <w:color w:val="auto"/>
          <w:kern w:val="2"/>
          <w:sz w:val="21"/>
          <w:szCs w:val="21"/>
          <w:highlight w:val="none"/>
          <w:lang w:val="en-US" w:eastAsia="zh-CN" w:bidi="ar"/>
        </w:rPr>
        <w:t>指企业从事销售商品、提供劳务和让渡资产使用权等生产经营活动形成的经济利益流入。包括“主营业务收入”和“其他业务收入”。根据会计“利润表”中“营业收入”项目的本年累计数填报。</w:t>
      </w:r>
    </w:p>
    <w:p w14:paraId="4DD837B3">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出口总额</w:t>
      </w:r>
      <w:r>
        <w:rPr>
          <w:rFonts w:hint="eastAsia" w:ascii="宋体" w:hAnsi="宋体" w:eastAsia="宋体" w:cs="宋体"/>
          <w:bCs/>
          <w:color w:val="auto"/>
          <w:kern w:val="2"/>
          <w:sz w:val="21"/>
          <w:szCs w:val="21"/>
          <w:highlight w:val="none"/>
          <w:lang w:val="en-US" w:eastAsia="zh-CN" w:bidi="ar"/>
        </w:rPr>
        <w:t>指实际输出我国国境的货物和服务总金额。包括对外贸易实际出口的产品、商品、出售给境外企业的技术或者为外商提供服务获得收益的总金额，包括外商来样、来料加工、来件装配和补偿贸易等生产的产品价值，以及对境外技术合同或者服务实现金额。</w:t>
      </w:r>
    </w:p>
    <w:p w14:paraId="5BB62307">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利润总额</w:t>
      </w:r>
      <w:r>
        <w:rPr>
          <w:rFonts w:hint="eastAsia" w:ascii="宋体" w:hAnsi="宋体" w:eastAsia="宋体" w:cs="宋体"/>
          <w:bCs/>
          <w:color w:val="auto"/>
          <w:kern w:val="2"/>
          <w:sz w:val="21"/>
          <w:szCs w:val="21"/>
          <w:highlight w:val="none"/>
          <w:lang w:val="en-US" w:eastAsia="zh-CN" w:bidi="ar"/>
        </w:rPr>
        <w:t>指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14:paraId="47252893">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净利润</w:t>
      </w:r>
      <w:r>
        <w:rPr>
          <w:rFonts w:hint="eastAsia" w:ascii="宋体" w:hAnsi="宋体" w:eastAsia="宋体" w:cs="宋体"/>
          <w:bCs/>
          <w:color w:val="auto"/>
          <w:kern w:val="2"/>
          <w:sz w:val="21"/>
          <w:szCs w:val="21"/>
          <w:highlight w:val="none"/>
          <w:lang w:val="en-US" w:eastAsia="zh-CN" w:bidi="ar"/>
        </w:rPr>
        <w:t>指企业实现的利润在上交国家所得税后的剩余部分，按会计“损益表”中“净利润”项目的本年累计数填报。</w:t>
      </w:r>
    </w:p>
    <w:p w14:paraId="2F489D72">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实际上缴税费总额</w:t>
      </w:r>
      <w:r>
        <w:rPr>
          <w:rFonts w:hint="eastAsia" w:ascii="宋体" w:hAnsi="宋体" w:eastAsia="宋体" w:cs="宋体"/>
          <w:bCs/>
          <w:color w:val="auto"/>
          <w:kern w:val="2"/>
          <w:sz w:val="21"/>
          <w:szCs w:val="21"/>
          <w:highlight w:val="none"/>
          <w:lang w:val="en-US" w:eastAsia="zh-CN" w:bidi="ar"/>
        </w:rPr>
        <w:t>指企业在报告期年度内因生产经营等活动而实际上缴的各项税金、特种基金和附加费，包含印花税、土地使用税、房地产税及教育附加费等，不包含代扣代缴个人所得税和关税。按当年实际发生额填报。</w:t>
      </w:r>
    </w:p>
    <w:p w14:paraId="193697BB">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高新区全口径指标数据</w:t>
      </w:r>
      <w:r>
        <w:rPr>
          <w:rFonts w:hint="eastAsia" w:ascii="宋体" w:hAnsi="宋体" w:eastAsia="宋体" w:cs="宋体"/>
          <w:bCs/>
          <w:color w:val="auto"/>
          <w:kern w:val="2"/>
          <w:sz w:val="21"/>
          <w:szCs w:val="21"/>
          <w:highlight w:val="none"/>
          <w:lang w:val="en-US" w:eastAsia="zh-CN" w:bidi="ar"/>
        </w:rPr>
        <w:t>指</w:t>
      </w:r>
      <w:r>
        <w:rPr>
          <w:rFonts w:hint="eastAsia" w:ascii="宋体" w:hAnsi="宋体" w:eastAsia="宋体" w:cs="宋体"/>
          <w:bCs/>
          <w:color w:val="auto"/>
          <w:kern w:val="2"/>
          <w:sz w:val="21"/>
          <w:szCs w:val="21"/>
          <w:highlight w:val="none"/>
          <w:u w:val="none"/>
          <w:lang w:val="en-US" w:eastAsia="zh-CN" w:bidi="ar"/>
        </w:rPr>
        <w:t>填报高新区园区全口径情况及参与国家统计局一套表统计的规模以上工业企业和规模以上服务业企业情况</w:t>
      </w:r>
      <w:r>
        <w:rPr>
          <w:rFonts w:hint="eastAsia" w:ascii="宋体" w:hAnsi="宋体" w:eastAsia="宋体" w:cs="宋体"/>
          <w:bCs/>
          <w:color w:val="auto"/>
          <w:kern w:val="2"/>
          <w:sz w:val="21"/>
          <w:szCs w:val="21"/>
          <w:highlight w:val="none"/>
          <w:lang w:val="en-US" w:eastAsia="zh-CN" w:bidi="ar"/>
        </w:rPr>
        <w:t>。</w:t>
      </w:r>
    </w:p>
    <w:p w14:paraId="3C801857">
      <w:pPr>
        <w:spacing w:after="0" w:line="400" w:lineRule="exact"/>
        <w:ind w:left="0" w:firstLine="420"/>
        <w:rPr>
          <w:rFonts w:hint="eastAsia" w:ascii="宋体" w:hAnsi="宋体" w:eastAsia="宋体" w:cs="宋体"/>
          <w:bCs/>
          <w:color w:val="auto"/>
          <w:spacing w:val="-6"/>
          <w:szCs w:val="21"/>
          <w:highlight w:val="none"/>
          <w:lang w:eastAsia="zh-CN" w:bidi="ar"/>
        </w:rPr>
      </w:pPr>
      <w:r>
        <w:rPr>
          <w:rFonts w:hint="eastAsia" w:ascii="黑体" w:hAnsi="宋体" w:eastAsia="黑体" w:cs="黑体"/>
          <w:bCs/>
          <w:color w:val="auto"/>
          <w:szCs w:val="21"/>
          <w:highlight w:val="none"/>
          <w:lang w:eastAsia="zh-CN" w:bidi="ar"/>
        </w:rPr>
        <w:t>工业销售产值</w:t>
      </w:r>
      <w:r>
        <w:rPr>
          <w:rFonts w:hint="eastAsia" w:ascii="宋体" w:hAnsi="宋体" w:eastAsia="宋体" w:cs="宋体"/>
          <w:bCs/>
          <w:color w:val="auto"/>
          <w:spacing w:val="-6"/>
          <w:szCs w:val="21"/>
          <w:highlight w:val="none"/>
          <w:lang w:eastAsia="zh-CN" w:bidi="ar"/>
        </w:rPr>
        <w:t>指以货币形式表现的，工业企业在报告期内销售的本企业生产的工业产品或提供工业性劳务价值的总价值量。工业销售产值包括的内容为：</w:t>
      </w:r>
    </w:p>
    <w:p w14:paraId="5F556A8A">
      <w:pPr>
        <w:spacing w:after="0" w:line="400" w:lineRule="exact"/>
        <w:ind w:left="0" w:firstLine="420"/>
        <w:rPr>
          <w:rFonts w:hint="eastAsia" w:ascii="宋体" w:hAnsi="宋体" w:eastAsia="宋体" w:cs="宋体"/>
          <w:bCs/>
          <w:color w:val="auto"/>
          <w:spacing w:val="-6"/>
          <w:szCs w:val="21"/>
          <w:highlight w:val="none"/>
          <w:lang w:eastAsia="zh-CN" w:bidi="ar"/>
        </w:rPr>
      </w:pPr>
      <w:r>
        <w:rPr>
          <w:rFonts w:hint="eastAsia" w:ascii="宋体" w:hAnsi="宋体" w:eastAsia="宋体" w:cs="宋体"/>
          <w:bCs/>
          <w:color w:val="auto"/>
          <w:spacing w:val="-6"/>
          <w:szCs w:val="21"/>
          <w:highlight w:val="none"/>
          <w:lang w:eastAsia="zh-CN" w:bidi="ar"/>
        </w:rPr>
        <w:t>（1）销售成品价值：指企业在报告期内实际销售（包括本期生产和非本期生产）的全部成品、半成品的总价值，即按报告期产品的实际销售数量乘以不含增值税（销项税额）的产品实际销售平均单价计算。销售成品价值中包括企业生产的自制设备及提供给本企业在建工程、其他非工业部门和生活福利部门等单位使用的成品价值，但不包括用订货者来料加工，并且只收取加工费的成品（半成品）价值。</w:t>
      </w:r>
    </w:p>
    <w:p w14:paraId="33CB1535">
      <w:pPr>
        <w:spacing w:after="0" w:line="400" w:lineRule="exact"/>
        <w:ind w:left="0" w:firstLine="420"/>
        <w:rPr>
          <w:rFonts w:hint="eastAsia" w:ascii="宋体" w:hAnsi="宋体" w:eastAsia="宋体" w:cs="宋体"/>
          <w:bCs/>
          <w:color w:val="auto"/>
          <w:spacing w:val="-6"/>
          <w:szCs w:val="21"/>
          <w:highlight w:val="none"/>
          <w:lang w:eastAsia="zh-CN" w:bidi="ar"/>
        </w:rPr>
      </w:pPr>
      <w:r>
        <w:rPr>
          <w:rFonts w:hint="eastAsia" w:ascii="宋体" w:hAnsi="宋体" w:eastAsia="宋体" w:cs="宋体"/>
          <w:bCs/>
          <w:color w:val="auto"/>
          <w:spacing w:val="-6"/>
          <w:szCs w:val="21"/>
          <w:highlight w:val="none"/>
          <w:lang w:eastAsia="zh-CN" w:bidi="ar"/>
        </w:rPr>
        <w:t>（2）对外加工费收入：指企业在报告期内完成的对外承接的工业品加工（包括用订货者来料加工的产品）的加工费收入；对外工业品修理作业可收取的加工费收入和对内非工业部门提供的加工修理、设备安装等收入。对外加工费收入按不含增值税（销项税额）的价格计算。</w:t>
      </w:r>
    </w:p>
    <w:p w14:paraId="60458356">
      <w:pPr>
        <w:spacing w:after="0" w:line="400" w:lineRule="exact"/>
        <w:ind w:left="0" w:firstLine="420"/>
        <w:rPr>
          <w:rFonts w:hint="eastAsia" w:ascii="宋体" w:hAnsi="宋体" w:eastAsia="宋体" w:cs="宋体"/>
          <w:bCs/>
          <w:color w:val="auto"/>
          <w:spacing w:val="-6"/>
          <w:szCs w:val="21"/>
          <w:highlight w:val="none"/>
          <w:lang w:eastAsia="zh-CN" w:bidi="ar"/>
        </w:rPr>
      </w:pPr>
      <w:r>
        <w:rPr>
          <w:rFonts w:hint="eastAsia" w:ascii="宋体" w:hAnsi="宋体" w:eastAsia="宋体" w:cs="宋体"/>
          <w:bCs/>
          <w:color w:val="auto"/>
          <w:spacing w:val="-6"/>
          <w:szCs w:val="21"/>
          <w:highlight w:val="none"/>
          <w:lang w:eastAsia="zh-CN" w:bidi="ar"/>
        </w:rPr>
        <w:t>对于以对外加工生产为主，对外加工费收入所占比重较大的企业，如果对外加工费收入出现跨报告期支付的情况，为保证总产值生产口径计算的准确性，则应将对外加工费收入按实际情况调整，记录本报告期应实际收取的对外加工费收入。</w:t>
      </w:r>
    </w:p>
    <w:p w14:paraId="3C36297F">
      <w:pPr>
        <w:spacing w:after="0" w:line="400" w:lineRule="exact"/>
        <w:ind w:left="0" w:firstLine="420"/>
        <w:rPr>
          <w:rFonts w:hint="eastAsia" w:ascii="宋体" w:hAnsi="宋体" w:eastAsia="宋体" w:cs="宋体"/>
          <w:bCs/>
          <w:color w:val="auto"/>
          <w:spacing w:val="-6"/>
          <w:szCs w:val="21"/>
          <w:highlight w:val="none"/>
          <w:lang w:eastAsia="zh-CN" w:bidi="ar"/>
        </w:rPr>
      </w:pPr>
      <w:r>
        <w:rPr>
          <w:rFonts w:hint="eastAsia" w:ascii="宋体" w:hAnsi="宋体" w:eastAsia="宋体" w:cs="宋体"/>
          <w:bCs/>
          <w:color w:val="auto"/>
          <w:spacing w:val="-6"/>
          <w:szCs w:val="21"/>
          <w:highlight w:val="none"/>
          <w:lang w:eastAsia="zh-CN" w:bidi="ar"/>
        </w:rPr>
        <w:t>区分来料加工与自备原材料生产的依据同工业总产值中的规定。</w:t>
      </w:r>
    </w:p>
    <w:p w14:paraId="4655540B">
      <w:pPr>
        <w:spacing w:after="0" w:line="400" w:lineRule="exact"/>
        <w:ind w:left="0" w:firstLine="420"/>
        <w:rPr>
          <w:rFonts w:hint="eastAsia" w:ascii="宋体" w:hAnsi="宋体" w:eastAsia="宋体" w:cs="宋体"/>
          <w:bCs/>
          <w:color w:val="auto"/>
          <w:spacing w:val="-6"/>
          <w:szCs w:val="21"/>
          <w:highlight w:val="none"/>
          <w:lang w:bidi="ar"/>
        </w:rPr>
      </w:pPr>
      <w:r>
        <w:rPr>
          <w:rFonts w:hint="eastAsia" w:ascii="黑体" w:hAnsi="宋体" w:eastAsia="黑体" w:cs="黑体"/>
          <w:bCs/>
          <w:color w:val="auto"/>
          <w:spacing w:val="0"/>
          <w:szCs w:val="21"/>
          <w:highlight w:val="none"/>
          <w:lang w:eastAsia="zh-CN" w:bidi="ar"/>
        </w:rPr>
        <w:t>综合能源消费量</w:t>
      </w:r>
      <w:r>
        <w:rPr>
          <w:rFonts w:hint="eastAsia" w:ascii="宋体" w:hAnsi="宋体" w:eastAsia="宋体" w:cs="宋体"/>
          <w:bCs/>
          <w:color w:val="auto"/>
          <w:spacing w:val="-6"/>
          <w:szCs w:val="21"/>
          <w:highlight w:val="none"/>
          <w:lang w:bidi="ar"/>
        </w:rPr>
        <w:t>综合能源消费量计算方法：(1)没有能源加工转换和回收利用活动的调查单位：综合能源消费量=工业生产消费</w:t>
      </w:r>
      <w:r>
        <w:rPr>
          <w:rFonts w:hint="eastAsia" w:ascii="宋体" w:hAnsi="宋体" w:eastAsia="宋体" w:cs="宋体"/>
          <w:bCs/>
          <w:color w:val="auto"/>
          <w:spacing w:val="-6"/>
          <w:szCs w:val="21"/>
          <w:highlight w:val="none"/>
          <w:lang w:eastAsia="zh-CN" w:bidi="ar"/>
        </w:rPr>
        <w:t>；</w:t>
      </w:r>
      <w:r>
        <w:rPr>
          <w:rFonts w:hint="eastAsia" w:ascii="宋体" w:hAnsi="宋体" w:eastAsia="宋体" w:cs="宋体"/>
          <w:bCs/>
          <w:color w:val="auto"/>
          <w:spacing w:val="-6"/>
          <w:szCs w:val="21"/>
          <w:highlight w:val="none"/>
          <w:lang w:bidi="ar"/>
        </w:rPr>
        <w:t>(2)有能源加工转换或回收利用活动的调查单位：综合能源消费量=工业生产消费-能源加工转换产出-回收利用</w:t>
      </w:r>
      <w:r>
        <w:rPr>
          <w:rFonts w:hint="eastAsia" w:ascii="宋体" w:hAnsi="宋体" w:eastAsia="宋体" w:cs="宋体"/>
          <w:bCs/>
          <w:color w:val="auto"/>
          <w:spacing w:val="-6"/>
          <w:szCs w:val="21"/>
          <w:highlight w:val="none"/>
          <w:lang w:eastAsia="zh-CN" w:bidi="ar"/>
        </w:rPr>
        <w:t>。</w:t>
      </w:r>
      <w:r>
        <w:rPr>
          <w:rFonts w:hint="eastAsia" w:ascii="宋体" w:hAnsi="宋体" w:eastAsia="宋体" w:cs="宋体"/>
          <w:bCs/>
          <w:color w:val="auto"/>
          <w:spacing w:val="-6"/>
          <w:szCs w:val="21"/>
          <w:highlight w:val="none"/>
          <w:lang w:bidi="ar"/>
        </w:rPr>
        <w:t>不计算原煤入洗损耗。</w:t>
      </w:r>
    </w:p>
    <w:p w14:paraId="60D12D26">
      <w:pPr>
        <w:spacing w:after="0" w:line="400" w:lineRule="exact"/>
        <w:ind w:left="0" w:firstLine="420"/>
        <w:rPr>
          <w:rFonts w:hint="eastAsia" w:ascii="宋体" w:hAnsi="宋体" w:eastAsia="宋体" w:cs="宋体"/>
          <w:bCs/>
          <w:color w:val="auto"/>
          <w:spacing w:val="-6"/>
          <w:szCs w:val="21"/>
          <w:highlight w:val="none"/>
          <w:lang w:bidi="ar"/>
        </w:rPr>
      </w:pPr>
      <w:r>
        <w:rPr>
          <w:rFonts w:hint="eastAsia" w:ascii="黑体" w:hAnsi="宋体" w:eastAsia="黑体" w:cs="黑体"/>
          <w:bCs/>
          <w:color w:val="auto"/>
          <w:spacing w:val="0"/>
          <w:szCs w:val="21"/>
          <w:highlight w:val="none"/>
          <w:lang w:eastAsia="zh-CN" w:bidi="ar"/>
        </w:rPr>
        <w:t>工业生产电力消费</w:t>
      </w:r>
      <w:r>
        <w:rPr>
          <w:rFonts w:hint="eastAsia" w:ascii="宋体" w:hAnsi="宋体" w:eastAsia="宋体" w:cs="宋体"/>
          <w:bCs/>
          <w:color w:val="auto"/>
          <w:spacing w:val="-6"/>
          <w:szCs w:val="21"/>
          <w:highlight w:val="none"/>
          <w:lang w:eastAsia="zh-CN" w:bidi="ar"/>
        </w:rPr>
        <w:t>指</w:t>
      </w:r>
      <w:r>
        <w:rPr>
          <w:rFonts w:hint="eastAsia" w:ascii="宋体" w:hAnsi="宋体" w:eastAsia="宋体" w:cs="宋体"/>
          <w:bCs/>
          <w:color w:val="auto"/>
          <w:spacing w:val="-6"/>
          <w:szCs w:val="21"/>
          <w:highlight w:val="none"/>
          <w:lang w:bidi="ar"/>
        </w:rPr>
        <w:t>工业企业在生产区内从事工业直接生产和辅助生产活动所消费的总电量。</w:t>
      </w:r>
    </w:p>
    <w:p w14:paraId="7F24690E">
      <w:pPr>
        <w:spacing w:after="0" w:line="400" w:lineRule="exact"/>
        <w:ind w:left="0" w:firstLine="420"/>
        <w:rPr>
          <w:rFonts w:hint="eastAsia" w:ascii="宋体" w:hAnsi="宋体" w:eastAsia="宋体" w:cs="宋体"/>
          <w:bCs/>
          <w:color w:val="auto"/>
          <w:spacing w:val="-6"/>
          <w:szCs w:val="21"/>
          <w:highlight w:val="none"/>
          <w:lang w:eastAsia="zh-CN" w:bidi="ar"/>
        </w:rPr>
      </w:pPr>
      <w:r>
        <w:rPr>
          <w:rFonts w:hint="eastAsia" w:ascii="黑体" w:hAnsi="宋体" w:eastAsia="黑体" w:cs="黑体"/>
          <w:bCs/>
          <w:color w:val="auto"/>
          <w:spacing w:val="0"/>
          <w:szCs w:val="21"/>
          <w:highlight w:val="none"/>
          <w:lang w:eastAsia="zh-CN" w:bidi="ar"/>
        </w:rPr>
        <w:t>工业固定资产投资</w:t>
      </w:r>
      <w:r>
        <w:rPr>
          <w:rFonts w:hint="eastAsia" w:ascii="宋体" w:hAnsi="宋体" w:eastAsia="宋体" w:cs="宋体"/>
          <w:bCs/>
          <w:color w:val="auto"/>
          <w:spacing w:val="-6"/>
          <w:szCs w:val="21"/>
          <w:highlight w:val="none"/>
          <w:lang w:eastAsia="zh-CN" w:bidi="ar"/>
        </w:rPr>
        <w:t>指项目行业编码在06到46之间的固定资产投资项目。</w:t>
      </w:r>
    </w:p>
    <w:p w14:paraId="140A2416">
      <w:pPr>
        <w:shd w:val="clear" w:color="auto" w:fill="auto"/>
        <w:spacing w:line="400" w:lineRule="exact"/>
        <w:ind w:firstLine="420" w:firstLineChars="200"/>
        <w:rPr>
          <w:bCs/>
          <w:color w:val="auto"/>
          <w:highlight w:val="none"/>
        </w:rPr>
      </w:pPr>
      <w:r>
        <w:rPr>
          <w:rFonts w:hint="eastAsia" w:eastAsia="黑体"/>
          <w:bCs/>
          <w:color w:val="auto"/>
          <w:highlight w:val="none"/>
        </w:rPr>
        <w:t>高新区园区生产总值（GDP）（全口径）</w:t>
      </w:r>
      <w:r>
        <w:rPr>
          <w:rFonts w:hint="eastAsia"/>
          <w:bCs/>
          <w:color w:val="auto"/>
          <w:highlight w:val="none"/>
        </w:rPr>
        <w:t>指报告期内高新区全口径园区生产总值，由高新区管委会从上级统计部门获得。</w:t>
      </w:r>
    </w:p>
    <w:p w14:paraId="0FF092AE">
      <w:pPr>
        <w:keepNext w:val="0"/>
        <w:keepLines w:val="0"/>
        <w:widowControl/>
        <w:suppressLineNumbers w:val="0"/>
        <w:shd w:val="clear" w:color="auto" w:fill="auto"/>
        <w:spacing w:before="0" w:beforeAutospacing="0" w:after="0" w:afterAutospacing="0" w:line="400" w:lineRule="exact"/>
        <w:ind w:left="0" w:right="0" w:firstLine="420" w:firstLineChars="200"/>
        <w:jc w:val="left"/>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第二产业</w:t>
      </w:r>
      <w:r>
        <w:rPr>
          <w:rFonts w:hint="eastAsia" w:ascii="宋体" w:hAnsi="宋体" w:eastAsia="宋体" w:cs="宋体"/>
          <w:bCs/>
          <w:color w:val="auto"/>
          <w:kern w:val="2"/>
          <w:sz w:val="21"/>
          <w:szCs w:val="21"/>
          <w:highlight w:val="none"/>
          <w:lang w:val="en-US" w:eastAsia="zh-CN" w:bidi="ar"/>
        </w:rPr>
        <w:t>指采矿业（不含开采辅助活动），制造业（不含金属制品、机械和设备修理业），电力、热力、燃气及水生产和供应业，建筑业。</w:t>
      </w:r>
    </w:p>
    <w:p w14:paraId="168B5093">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工业</w:t>
      </w:r>
      <w:r>
        <w:rPr>
          <w:rFonts w:hint="eastAsia" w:ascii="宋体" w:hAnsi="宋体" w:eastAsia="宋体" w:cs="宋体"/>
          <w:bCs/>
          <w:color w:val="auto"/>
          <w:kern w:val="2"/>
          <w:sz w:val="21"/>
          <w:szCs w:val="21"/>
          <w:highlight w:val="none"/>
          <w:lang w:val="en-US" w:eastAsia="zh-CN" w:bidi="ar"/>
        </w:rPr>
        <w:t>指从事自然资源的开采，对采掘品和农产品进行加工和再加工的物质生产部门。具体包括：（</w:t>
      </w:r>
      <w:r>
        <w:rPr>
          <w:rFonts w:hint="default" w:ascii="Calibri" w:hAnsi="Calibri" w:eastAsia="宋体" w:cs="Calibri"/>
          <w:bCs/>
          <w:color w:val="auto"/>
          <w:kern w:val="2"/>
          <w:sz w:val="21"/>
          <w:szCs w:val="21"/>
          <w:highlight w:val="none"/>
          <w:lang w:val="en-US" w:eastAsia="zh-CN" w:bidi="ar"/>
        </w:rPr>
        <w:t>1</w:t>
      </w:r>
      <w:r>
        <w:rPr>
          <w:rFonts w:hint="eastAsia" w:ascii="宋体" w:hAnsi="宋体" w:eastAsia="宋体" w:cs="宋体"/>
          <w:bCs/>
          <w:color w:val="auto"/>
          <w:kern w:val="2"/>
          <w:sz w:val="21"/>
          <w:szCs w:val="21"/>
          <w:highlight w:val="none"/>
          <w:lang w:val="en-US" w:eastAsia="zh-CN" w:bidi="ar"/>
        </w:rPr>
        <w:t>）对自然资源的开采，如采矿、晒盐等（但不包括禽兽捕猎和水产捕捞）；（</w:t>
      </w:r>
      <w:r>
        <w:rPr>
          <w:rFonts w:hint="default" w:ascii="Calibri" w:hAnsi="Calibri" w:eastAsia="宋体" w:cs="Times New Roman"/>
          <w:bCs/>
          <w:color w:val="auto"/>
          <w:kern w:val="2"/>
          <w:sz w:val="21"/>
          <w:szCs w:val="21"/>
          <w:highlight w:val="none"/>
          <w:lang w:val="en-US" w:eastAsia="zh-CN" w:bidi="ar"/>
        </w:rPr>
        <w:t>2</w:t>
      </w:r>
      <w:r>
        <w:rPr>
          <w:rFonts w:hint="eastAsia" w:ascii="宋体" w:hAnsi="宋体" w:eastAsia="宋体" w:cs="宋体"/>
          <w:bCs/>
          <w:color w:val="auto"/>
          <w:kern w:val="2"/>
          <w:sz w:val="21"/>
          <w:szCs w:val="21"/>
          <w:highlight w:val="none"/>
          <w:lang w:val="en-US" w:eastAsia="zh-CN" w:bidi="ar"/>
        </w:rPr>
        <w:t>）对农副产品的加工、再加工，如粮油加工、食品加工、缫丝、纺织、制革等；（</w:t>
      </w:r>
      <w:r>
        <w:rPr>
          <w:rFonts w:hint="default" w:ascii="Calibri" w:hAnsi="Calibri" w:eastAsia="宋体" w:cs="Calibri"/>
          <w:bCs/>
          <w:color w:val="auto"/>
          <w:kern w:val="2"/>
          <w:sz w:val="21"/>
          <w:szCs w:val="21"/>
          <w:highlight w:val="none"/>
          <w:lang w:val="en-US" w:eastAsia="zh-CN" w:bidi="ar"/>
        </w:rPr>
        <w:t>3</w:t>
      </w:r>
      <w:r>
        <w:rPr>
          <w:rFonts w:hint="eastAsia" w:ascii="宋体" w:hAnsi="宋体" w:eastAsia="宋体" w:cs="宋体"/>
          <w:bCs/>
          <w:color w:val="auto"/>
          <w:kern w:val="2"/>
          <w:sz w:val="21"/>
          <w:szCs w:val="21"/>
          <w:highlight w:val="none"/>
          <w:lang w:val="en-US" w:eastAsia="zh-CN" w:bidi="ar"/>
        </w:rPr>
        <w:t>）对采掘品的加工、再加工，如炼铁、炼钢、化工生产、石油加工、机器制造、木材加工等，以及电力、自来水、煤气的生产和供应等；（</w:t>
      </w:r>
      <w:r>
        <w:rPr>
          <w:rFonts w:hint="default" w:ascii="Calibri" w:hAnsi="Calibri" w:eastAsia="宋体" w:cs="Calibri"/>
          <w:bCs/>
          <w:color w:val="auto"/>
          <w:kern w:val="2"/>
          <w:sz w:val="21"/>
          <w:szCs w:val="21"/>
          <w:highlight w:val="none"/>
          <w:lang w:val="en-US" w:eastAsia="zh-CN" w:bidi="ar"/>
        </w:rPr>
        <w:t>4</w:t>
      </w:r>
      <w:r>
        <w:rPr>
          <w:rFonts w:hint="eastAsia" w:ascii="宋体" w:hAnsi="宋体" w:eastAsia="宋体" w:cs="宋体"/>
          <w:bCs/>
          <w:color w:val="auto"/>
          <w:kern w:val="2"/>
          <w:sz w:val="21"/>
          <w:szCs w:val="21"/>
          <w:highlight w:val="none"/>
          <w:lang w:val="en-US" w:eastAsia="zh-CN" w:bidi="ar"/>
        </w:rPr>
        <w:t>）对工业品的修理、翻新，如机器设备的修理等。</w:t>
      </w:r>
    </w:p>
    <w:p w14:paraId="43BBFFA8">
      <w:pPr>
        <w:spacing w:after="0" w:line="400" w:lineRule="exact"/>
        <w:ind w:left="0" w:firstLine="420"/>
        <w:rPr>
          <w:rFonts w:hint="eastAsia" w:ascii="宋体" w:hAnsi="宋体" w:eastAsia="宋体" w:cs="宋体"/>
          <w:bCs/>
          <w:color w:val="auto"/>
          <w:szCs w:val="21"/>
          <w:highlight w:val="none"/>
          <w:lang w:eastAsia="zh-CN" w:bidi="ar"/>
        </w:rPr>
      </w:pPr>
      <w:r>
        <w:rPr>
          <w:rFonts w:hint="eastAsia" w:ascii="黑体" w:hAnsi="宋体" w:eastAsia="黑体" w:cs="黑体"/>
          <w:bCs/>
          <w:color w:val="auto"/>
          <w:szCs w:val="21"/>
          <w:highlight w:val="none"/>
          <w:lang w:eastAsia="zh-CN" w:bidi="ar"/>
        </w:rPr>
        <w:t>规模以上工业增加值</w:t>
      </w:r>
      <w:r>
        <w:rPr>
          <w:rFonts w:hint="eastAsia" w:ascii="宋体" w:hAnsi="宋体" w:eastAsia="宋体" w:cs="宋体"/>
          <w:bCs/>
          <w:color w:val="auto"/>
          <w:szCs w:val="21"/>
          <w:highlight w:val="none"/>
          <w:lang w:eastAsia="zh-CN" w:bidi="ar"/>
        </w:rPr>
        <w:t>指规模以上</w:t>
      </w:r>
      <w:r>
        <w:rPr>
          <w:rFonts w:hint="eastAsia" w:ascii="宋体" w:hAnsi="宋体" w:eastAsia="宋体" w:cs="宋体"/>
          <w:bCs/>
          <w:color w:val="auto"/>
          <w:szCs w:val="21"/>
          <w:highlight w:val="none"/>
          <w:lang w:bidi="ar"/>
        </w:rPr>
        <w:t>工业企业在报告期内以货币形式表现的工业生产活动的最终成果</w:t>
      </w:r>
      <w:r>
        <w:rPr>
          <w:rFonts w:hint="eastAsia" w:ascii="宋体" w:hAnsi="宋体" w:eastAsia="宋体" w:cs="宋体"/>
          <w:bCs/>
          <w:color w:val="auto"/>
          <w:szCs w:val="21"/>
          <w:highlight w:val="none"/>
          <w:lang w:eastAsia="zh-CN" w:bidi="ar"/>
        </w:rPr>
        <w:t>。</w:t>
      </w:r>
    </w:p>
    <w:p w14:paraId="54A5D17D">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第三产业</w:t>
      </w:r>
      <w:r>
        <w:rPr>
          <w:rFonts w:hint="eastAsia" w:ascii="宋体" w:hAnsi="宋体" w:eastAsia="宋体" w:cs="宋体"/>
          <w:bCs/>
          <w:color w:val="auto"/>
          <w:kern w:val="2"/>
          <w:sz w:val="21"/>
          <w:szCs w:val="21"/>
          <w:highlight w:val="none"/>
          <w:lang w:val="en-US" w:eastAsia="zh-CN" w:bidi="ar"/>
        </w:rPr>
        <w:t>即服务业，是指除第一产业、第二产业以外的其他行业。具体包括：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以及农、林、牧、渔业中的农、林、牧、渔服务业，采矿业中的开采辅助活动，制造业中的金属制品、机械和设备修理业。</w:t>
      </w:r>
    </w:p>
    <w:p w14:paraId="04A571CE">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eastAsia="黑体"/>
          <w:bCs/>
          <w:color w:val="auto"/>
          <w:highlight w:val="none"/>
        </w:rPr>
        <w:t>高新区园区生产总值增速、工业增加值增速、规模以上工业增加值增速</w:t>
      </w:r>
      <w:r>
        <w:rPr>
          <w:rFonts w:hint="eastAsia" w:ascii="宋体" w:hAnsi="宋体" w:eastAsia="宋体" w:cs="宋体"/>
          <w:bCs/>
          <w:color w:val="auto"/>
          <w:szCs w:val="21"/>
          <w:highlight w:val="none"/>
          <w:lang w:bidi="ar"/>
        </w:rPr>
        <w:t>指按可比价格核算的同比增长，均为实际增长速度。</w:t>
      </w:r>
    </w:p>
    <w:p w14:paraId="3E6E7D49">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黑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规模以上企业</w:t>
      </w:r>
      <w:r>
        <w:rPr>
          <w:rFonts w:hint="eastAsia" w:ascii="宋体" w:hAnsi="宋体" w:eastAsia="宋体" w:cs="宋体"/>
          <w:bCs/>
          <w:color w:val="auto"/>
          <w:kern w:val="2"/>
          <w:sz w:val="21"/>
          <w:szCs w:val="21"/>
          <w:highlight w:val="none"/>
          <w:lang w:val="en-US" w:eastAsia="zh-CN" w:bidi="ar"/>
        </w:rPr>
        <w:t>是经济指标达到一定水平的企业的统称，指与国家统计局相关标准一致，参与国家统计局一套表报送的企业。具体指</w:t>
      </w:r>
      <w:r>
        <w:rPr>
          <w:rFonts w:hint="default" w:ascii="Calibri" w:hAnsi="Calibri" w:eastAsia="宋体" w:cs="Times New Roman"/>
          <w:color w:val="auto"/>
          <w:kern w:val="2"/>
          <w:sz w:val="21"/>
          <w:szCs w:val="21"/>
          <w:highlight w:val="none"/>
          <w:lang w:val="en-US" w:eastAsia="zh-CN" w:bidi="ar"/>
        </w:rPr>
        <w:fldChar w:fldCharType="begin"/>
      </w:r>
      <w:r>
        <w:rPr>
          <w:rFonts w:hint="default" w:ascii="Calibri" w:hAnsi="Calibri" w:eastAsia="宋体" w:cs="Times New Roman"/>
          <w:color w:val="auto"/>
          <w:kern w:val="2"/>
          <w:sz w:val="21"/>
          <w:szCs w:val="21"/>
          <w:highlight w:val="none"/>
          <w:lang w:val="en-US" w:eastAsia="zh-CN" w:bidi="ar"/>
        </w:rPr>
        <w:instrText xml:space="preserve"> HYPERLINK "http://zhidao.baidu.com/search?word=%E8%A7%84%E6%A8%A1%E4%BB%A5%E4%B8%8A%E5%B7%A5%E4%B8%9A%E4%BC%81%E4%B8%9A&amp;fr=qb_search_exp&amp;ie=utf8" </w:instrText>
      </w:r>
      <w:r>
        <w:rPr>
          <w:rFonts w:hint="default" w:ascii="Calibri" w:hAnsi="Calibri" w:eastAsia="宋体" w:cs="Times New Roman"/>
          <w:color w:val="auto"/>
          <w:kern w:val="2"/>
          <w:sz w:val="21"/>
          <w:szCs w:val="21"/>
          <w:highlight w:val="none"/>
          <w:lang w:val="en-US" w:eastAsia="zh-CN" w:bidi="ar"/>
        </w:rPr>
        <w:fldChar w:fldCharType="separate"/>
      </w:r>
      <w:r>
        <w:rPr>
          <w:rStyle w:val="40"/>
          <w:rFonts w:hint="eastAsia" w:ascii="宋体" w:hAnsi="宋体" w:eastAsia="宋体" w:cs="宋体"/>
          <w:bCs/>
          <w:color w:val="auto"/>
          <w:kern w:val="2"/>
          <w:sz w:val="21"/>
          <w:szCs w:val="21"/>
          <w:highlight w:val="none"/>
          <w:u w:val="none"/>
        </w:rPr>
        <w:t>规模以上工业企业</w:t>
      </w:r>
      <w:r>
        <w:rPr>
          <w:rFonts w:hint="default" w:ascii="Calibri" w:hAnsi="Calibri" w:eastAsia="宋体" w:cs="Times New Roman"/>
          <w:color w:val="auto"/>
          <w:kern w:val="2"/>
          <w:sz w:val="21"/>
          <w:szCs w:val="21"/>
          <w:highlight w:val="none"/>
          <w:lang w:val="en-US" w:eastAsia="zh-CN" w:bidi="ar"/>
        </w:rPr>
        <w:fldChar w:fldCharType="end"/>
      </w:r>
      <w:r>
        <w:rPr>
          <w:rFonts w:hint="eastAsia" w:ascii="宋体" w:hAnsi="宋体" w:eastAsia="宋体" w:cs="宋体"/>
          <w:bCs/>
          <w:color w:val="auto"/>
          <w:kern w:val="2"/>
          <w:sz w:val="21"/>
          <w:szCs w:val="21"/>
          <w:highlight w:val="none"/>
          <w:lang w:val="en-US" w:eastAsia="zh-CN" w:bidi="ar"/>
        </w:rPr>
        <w:t>（年主营业务收入</w:t>
      </w:r>
      <w:r>
        <w:rPr>
          <w:rFonts w:hint="default" w:ascii="Times New Roman" w:hAnsi="Times New Roman" w:eastAsia="宋体" w:cs="Times New Roman"/>
          <w:bCs/>
          <w:color w:val="auto"/>
          <w:kern w:val="2"/>
          <w:sz w:val="21"/>
          <w:szCs w:val="21"/>
          <w:highlight w:val="none"/>
          <w:lang w:val="en-US" w:eastAsia="zh-CN" w:bidi="ar"/>
        </w:rPr>
        <w:t>2000</w:t>
      </w:r>
      <w:r>
        <w:rPr>
          <w:rFonts w:hint="eastAsia" w:ascii="宋体" w:hAnsi="宋体" w:eastAsia="宋体" w:cs="宋体"/>
          <w:bCs/>
          <w:color w:val="auto"/>
          <w:kern w:val="2"/>
          <w:sz w:val="21"/>
          <w:szCs w:val="21"/>
          <w:highlight w:val="none"/>
          <w:lang w:val="en-US" w:eastAsia="zh-CN" w:bidi="ar"/>
        </w:rPr>
        <w:t>万元及以上）、有资质的</w:t>
      </w:r>
      <w:r>
        <w:rPr>
          <w:rFonts w:hint="default" w:ascii="Calibri" w:hAnsi="Calibri" w:eastAsia="宋体" w:cs="Times New Roman"/>
          <w:color w:val="auto"/>
          <w:kern w:val="2"/>
          <w:sz w:val="21"/>
          <w:szCs w:val="21"/>
          <w:highlight w:val="none"/>
          <w:lang w:val="en-US" w:eastAsia="zh-CN" w:bidi="ar"/>
        </w:rPr>
        <w:fldChar w:fldCharType="begin"/>
      </w:r>
      <w:r>
        <w:rPr>
          <w:rFonts w:hint="default" w:ascii="Calibri" w:hAnsi="Calibri" w:eastAsia="宋体" w:cs="Times New Roman"/>
          <w:color w:val="auto"/>
          <w:kern w:val="2"/>
          <w:sz w:val="21"/>
          <w:szCs w:val="21"/>
          <w:highlight w:val="none"/>
          <w:lang w:val="en-US" w:eastAsia="zh-CN" w:bidi="ar"/>
        </w:rPr>
        <w:instrText xml:space="preserve"> HYPERLINK "http://zhidao.baidu.com/search?word=%E5%BB%BA%E7%AD%91%E4%B8%9A&amp;fr=qb_search_exp&amp;ie=utf8" </w:instrText>
      </w:r>
      <w:r>
        <w:rPr>
          <w:rFonts w:hint="default" w:ascii="Calibri" w:hAnsi="Calibri" w:eastAsia="宋体" w:cs="Times New Roman"/>
          <w:color w:val="auto"/>
          <w:kern w:val="2"/>
          <w:sz w:val="21"/>
          <w:szCs w:val="21"/>
          <w:highlight w:val="none"/>
          <w:lang w:val="en-US" w:eastAsia="zh-CN" w:bidi="ar"/>
        </w:rPr>
        <w:fldChar w:fldCharType="separate"/>
      </w:r>
      <w:r>
        <w:rPr>
          <w:rStyle w:val="40"/>
          <w:rFonts w:hint="eastAsia" w:ascii="宋体" w:hAnsi="宋体" w:eastAsia="宋体" w:cs="宋体"/>
          <w:bCs/>
          <w:color w:val="auto"/>
          <w:kern w:val="2"/>
          <w:sz w:val="21"/>
          <w:szCs w:val="21"/>
          <w:highlight w:val="none"/>
          <w:u w:val="none"/>
        </w:rPr>
        <w:t>建筑业</w:t>
      </w:r>
      <w:r>
        <w:rPr>
          <w:rFonts w:hint="default" w:ascii="Calibri" w:hAnsi="Calibri" w:eastAsia="宋体" w:cs="Times New Roman"/>
          <w:color w:val="auto"/>
          <w:kern w:val="2"/>
          <w:sz w:val="21"/>
          <w:szCs w:val="21"/>
          <w:highlight w:val="none"/>
          <w:lang w:val="en-US" w:eastAsia="zh-CN" w:bidi="ar"/>
        </w:rPr>
        <w:fldChar w:fldCharType="end"/>
      </w:r>
      <w:r>
        <w:rPr>
          <w:rFonts w:hint="eastAsia" w:ascii="宋体" w:hAnsi="宋体" w:eastAsia="宋体" w:cs="宋体"/>
          <w:bCs/>
          <w:color w:val="auto"/>
          <w:kern w:val="2"/>
          <w:sz w:val="21"/>
          <w:szCs w:val="21"/>
          <w:highlight w:val="none"/>
          <w:lang w:val="en-US" w:eastAsia="zh-CN" w:bidi="ar"/>
        </w:rPr>
        <w:t>企业（有总承包、专业承包和劳务分包资质）、限额以上批零住餐企业（年主营业务收入</w:t>
      </w:r>
      <w:r>
        <w:rPr>
          <w:rFonts w:hint="default" w:ascii="Times New Roman" w:hAnsi="Times New Roman" w:eastAsia="宋体" w:cs="Times New Roman"/>
          <w:bCs/>
          <w:color w:val="auto"/>
          <w:kern w:val="2"/>
          <w:sz w:val="21"/>
          <w:szCs w:val="21"/>
          <w:highlight w:val="none"/>
          <w:lang w:val="en-US" w:eastAsia="zh-CN" w:bidi="ar"/>
        </w:rPr>
        <w:t>2000</w:t>
      </w:r>
      <w:r>
        <w:rPr>
          <w:rFonts w:hint="eastAsia" w:ascii="宋体" w:hAnsi="宋体" w:eastAsia="宋体" w:cs="宋体"/>
          <w:bCs/>
          <w:color w:val="auto"/>
          <w:kern w:val="2"/>
          <w:sz w:val="21"/>
          <w:szCs w:val="21"/>
          <w:highlight w:val="none"/>
          <w:lang w:val="en-US" w:eastAsia="zh-CN" w:bidi="ar"/>
        </w:rPr>
        <w:t>万元及以上的批发业、年主营业务收入</w:t>
      </w:r>
      <w:r>
        <w:rPr>
          <w:rFonts w:hint="default" w:ascii="Times New Roman" w:hAnsi="Times New Roman" w:eastAsia="宋体" w:cs="Times New Roman"/>
          <w:bCs/>
          <w:color w:val="auto"/>
          <w:kern w:val="2"/>
          <w:sz w:val="21"/>
          <w:szCs w:val="21"/>
          <w:highlight w:val="none"/>
          <w:lang w:val="en-US" w:eastAsia="zh-CN" w:bidi="ar"/>
        </w:rPr>
        <w:t>500</w:t>
      </w:r>
      <w:r>
        <w:rPr>
          <w:rFonts w:hint="eastAsia" w:ascii="宋体" w:hAnsi="宋体" w:eastAsia="宋体" w:cs="宋体"/>
          <w:bCs/>
          <w:color w:val="auto"/>
          <w:kern w:val="2"/>
          <w:sz w:val="21"/>
          <w:szCs w:val="21"/>
          <w:highlight w:val="none"/>
          <w:lang w:val="en-US" w:eastAsia="zh-CN" w:bidi="ar"/>
        </w:rPr>
        <w:t>万元及以上的零售业、年主营业务收入</w:t>
      </w:r>
      <w:r>
        <w:rPr>
          <w:rFonts w:hint="default" w:ascii="Times New Roman" w:hAnsi="Times New Roman" w:eastAsia="宋体" w:cs="Times New Roman"/>
          <w:bCs/>
          <w:color w:val="auto"/>
          <w:kern w:val="2"/>
          <w:sz w:val="21"/>
          <w:szCs w:val="21"/>
          <w:highlight w:val="none"/>
          <w:lang w:val="en-US" w:eastAsia="zh-CN" w:bidi="ar"/>
        </w:rPr>
        <w:t>200</w:t>
      </w:r>
      <w:r>
        <w:rPr>
          <w:rFonts w:hint="eastAsia" w:ascii="宋体" w:hAnsi="宋体" w:eastAsia="宋体" w:cs="宋体"/>
          <w:bCs/>
          <w:color w:val="auto"/>
          <w:kern w:val="2"/>
          <w:sz w:val="21"/>
          <w:szCs w:val="21"/>
          <w:highlight w:val="none"/>
          <w:lang w:val="en-US" w:eastAsia="zh-CN" w:bidi="ar"/>
        </w:rPr>
        <w:t>万元及以上的住宿和餐饮业）、房地产开发经营业企业、规模以上服务业企业（年营业收入</w:t>
      </w:r>
      <w:r>
        <w:rPr>
          <w:rFonts w:hint="default" w:ascii="Times New Roman" w:hAnsi="Times New Roman" w:eastAsia="宋体" w:cs="Times New Roman"/>
          <w:bCs/>
          <w:color w:val="auto"/>
          <w:kern w:val="2"/>
          <w:sz w:val="21"/>
          <w:szCs w:val="21"/>
          <w:highlight w:val="none"/>
          <w:lang w:val="en-US" w:eastAsia="zh-CN" w:bidi="ar"/>
        </w:rPr>
        <w:t>1000</w:t>
      </w:r>
      <w:r>
        <w:rPr>
          <w:rFonts w:hint="eastAsia" w:ascii="宋体" w:hAnsi="宋体" w:eastAsia="宋体" w:cs="宋体"/>
          <w:bCs/>
          <w:color w:val="auto"/>
          <w:kern w:val="2"/>
          <w:sz w:val="21"/>
          <w:szCs w:val="21"/>
          <w:highlight w:val="none"/>
          <w:lang w:val="en-US" w:eastAsia="zh-CN" w:bidi="ar"/>
        </w:rPr>
        <w:t>万元及以上，或年末从业人员</w:t>
      </w:r>
      <w:r>
        <w:rPr>
          <w:rFonts w:hint="default" w:ascii="Times New Roman" w:hAnsi="Times New Roman" w:eastAsia="宋体" w:cs="Times New Roman"/>
          <w:bCs/>
          <w:color w:val="auto"/>
          <w:kern w:val="2"/>
          <w:sz w:val="21"/>
          <w:szCs w:val="21"/>
          <w:highlight w:val="none"/>
          <w:lang w:val="en-US" w:eastAsia="zh-CN" w:bidi="ar"/>
        </w:rPr>
        <w:t>50</w:t>
      </w:r>
      <w:r>
        <w:rPr>
          <w:rFonts w:hint="eastAsia" w:ascii="宋体" w:hAnsi="宋体" w:eastAsia="宋体" w:cs="宋体"/>
          <w:bCs/>
          <w:color w:val="auto"/>
          <w:kern w:val="2"/>
          <w:sz w:val="21"/>
          <w:szCs w:val="21"/>
          <w:highlight w:val="none"/>
          <w:lang w:val="en-US" w:eastAsia="zh-CN" w:bidi="ar"/>
        </w:rPr>
        <w:t>人及以上服务业法人单位，包括：交通运输、仓储和邮政业，信息传输、软件和信息技术服务业，租赁和商务服务业，科学研究和技术服务业，水利、环境和公共设施管理业，教育，卫生和社会工作；以及物业管理、房地产中介服务等行业；年营业收入</w:t>
      </w:r>
      <w:r>
        <w:rPr>
          <w:rFonts w:hint="default" w:ascii="Times New Roman" w:hAnsi="Times New Roman" w:eastAsia="宋体" w:cs="Times New Roman"/>
          <w:bCs/>
          <w:color w:val="auto"/>
          <w:kern w:val="2"/>
          <w:sz w:val="21"/>
          <w:szCs w:val="21"/>
          <w:highlight w:val="none"/>
          <w:lang w:val="en-US" w:eastAsia="zh-CN" w:bidi="ar"/>
        </w:rPr>
        <w:t>500</w:t>
      </w:r>
      <w:r>
        <w:rPr>
          <w:rFonts w:hint="eastAsia" w:ascii="宋体" w:hAnsi="宋体" w:eastAsia="宋体" w:cs="宋体"/>
          <w:bCs/>
          <w:color w:val="auto"/>
          <w:kern w:val="2"/>
          <w:sz w:val="21"/>
          <w:szCs w:val="21"/>
          <w:highlight w:val="none"/>
          <w:lang w:val="en-US" w:eastAsia="zh-CN" w:bidi="ar"/>
        </w:rPr>
        <w:t>万元及以上，或年末从业人员</w:t>
      </w:r>
      <w:r>
        <w:rPr>
          <w:rFonts w:hint="default" w:ascii="Times New Roman" w:hAnsi="Times New Roman" w:eastAsia="宋体" w:cs="Times New Roman"/>
          <w:bCs/>
          <w:color w:val="auto"/>
          <w:kern w:val="2"/>
          <w:sz w:val="21"/>
          <w:szCs w:val="21"/>
          <w:highlight w:val="none"/>
          <w:lang w:val="en-US" w:eastAsia="zh-CN" w:bidi="ar"/>
        </w:rPr>
        <w:t>50</w:t>
      </w:r>
      <w:r>
        <w:rPr>
          <w:rFonts w:hint="eastAsia" w:ascii="宋体" w:hAnsi="宋体" w:eastAsia="宋体" w:cs="宋体"/>
          <w:bCs/>
          <w:color w:val="auto"/>
          <w:kern w:val="2"/>
          <w:sz w:val="21"/>
          <w:szCs w:val="21"/>
          <w:highlight w:val="none"/>
          <w:lang w:val="en-US" w:eastAsia="zh-CN" w:bidi="ar"/>
        </w:rPr>
        <w:t>人及以上服务业法人单位，包括：居民服务、修理和其他服务业，文化、体育和娱乐业）等的统称。“四上”企业数量指填报国家统计局一套表的以上范围的企业数量。</w:t>
      </w:r>
    </w:p>
    <w:p w14:paraId="2A3324C4">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规模以上工业企业平均用工人数</w:t>
      </w:r>
      <w:r>
        <w:rPr>
          <w:rFonts w:hint="eastAsia" w:ascii="宋体" w:hAnsi="宋体" w:eastAsia="宋体" w:cs="宋体"/>
          <w:bCs/>
          <w:color w:val="auto"/>
          <w:kern w:val="2"/>
          <w:sz w:val="21"/>
          <w:szCs w:val="21"/>
          <w:highlight w:val="none"/>
          <w:lang w:val="en-US" w:eastAsia="zh-CN" w:bidi="ar"/>
        </w:rPr>
        <w:t>指报告期高新区所有规模以上工业企业平均实际拥有的、参与本企业生产经营活动的人员数。该指标可根据规上工业企业填报国家统计局一套表统计月报的数据汇总填报。</w:t>
      </w:r>
    </w:p>
    <w:p w14:paraId="35DDAB4A">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规模以上服务业企业期末用工人数</w:t>
      </w:r>
      <w:r>
        <w:rPr>
          <w:rFonts w:hint="eastAsia" w:ascii="宋体" w:hAnsi="宋体" w:eastAsia="宋体" w:cs="宋体"/>
          <w:bCs/>
          <w:color w:val="auto"/>
          <w:kern w:val="2"/>
          <w:sz w:val="21"/>
          <w:szCs w:val="21"/>
          <w:highlight w:val="none"/>
          <w:lang w:val="en-US" w:eastAsia="zh-CN" w:bidi="ar"/>
        </w:rPr>
        <w:t>指报告期末最后一日</w:t>
      </w:r>
      <w:r>
        <w:rPr>
          <w:rFonts w:hint="default" w:ascii="Times New Roman" w:hAnsi="Times New Roman" w:eastAsia="宋体" w:cs="Times New Roman"/>
          <w:bCs/>
          <w:color w:val="auto"/>
          <w:kern w:val="2"/>
          <w:sz w:val="21"/>
          <w:szCs w:val="21"/>
          <w:highlight w:val="none"/>
          <w:lang w:val="en-US" w:eastAsia="zh-CN" w:bidi="ar"/>
        </w:rPr>
        <w:t>24</w:t>
      </w:r>
      <w:r>
        <w:rPr>
          <w:rFonts w:hint="eastAsia" w:ascii="宋体" w:hAnsi="宋体" w:eastAsia="宋体" w:cs="宋体"/>
          <w:bCs/>
          <w:color w:val="auto"/>
          <w:kern w:val="2"/>
          <w:sz w:val="21"/>
          <w:szCs w:val="21"/>
          <w:highlight w:val="none"/>
          <w:lang w:val="en-US" w:eastAsia="zh-CN" w:bidi="ar"/>
        </w:rPr>
        <w:t>时高新区所有规模以上服务业企业实际拥有的、参与本企业生产经营活动的人员数，无论是否从本企业领取劳动报酬均视为用工人数。该指标为时点指标，不包括最后一日当天及以前已经不再参与本企业生产经营活动的人员。该指标可根据规上服务业企业填报国家统计局一套表统计月报的数据汇总填报。</w:t>
      </w:r>
    </w:p>
    <w:p w14:paraId="30C282A6">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szCs w:val="21"/>
          <w:highlight w:val="none"/>
          <w:lang w:eastAsia="zh-CN" w:bidi="ar"/>
        </w:rPr>
        <w:t>规模以上工业总产值</w:t>
      </w:r>
      <w:r>
        <w:rPr>
          <w:rFonts w:hint="eastAsia" w:ascii="宋体" w:hAnsi="宋体" w:eastAsia="宋体" w:cs="宋体"/>
          <w:bCs/>
          <w:color w:val="auto"/>
          <w:szCs w:val="21"/>
          <w:highlight w:val="none"/>
          <w:lang w:eastAsia="zh-CN" w:bidi="ar"/>
        </w:rPr>
        <w:t>指规模以上</w:t>
      </w:r>
      <w:r>
        <w:rPr>
          <w:rFonts w:hint="eastAsia" w:ascii="宋体" w:hAnsi="宋体" w:eastAsia="宋体" w:cs="宋体"/>
          <w:bCs/>
          <w:color w:val="auto"/>
          <w:szCs w:val="21"/>
          <w:highlight w:val="none"/>
          <w:lang w:bidi="ar"/>
        </w:rPr>
        <w:t>工业企业在报告期内生产的以货币形式表现的工业最终产品和提供工业劳务活动的总价值量。</w:t>
      </w:r>
    </w:p>
    <w:p w14:paraId="5505AF0E">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szCs w:val="21"/>
          <w:highlight w:val="none"/>
          <w:lang w:bidi="ar"/>
        </w:rPr>
        <w:t>规模以上工业</w:t>
      </w:r>
      <w:r>
        <w:rPr>
          <w:rFonts w:hint="eastAsia" w:ascii="黑体" w:hAnsi="宋体" w:eastAsia="黑体" w:cs="黑体"/>
          <w:bCs/>
          <w:color w:val="auto"/>
          <w:szCs w:val="21"/>
          <w:highlight w:val="none"/>
          <w:lang w:eastAsia="zh-CN" w:bidi="ar"/>
        </w:rPr>
        <w:t>企业营业收入</w:t>
      </w:r>
      <w:r>
        <w:rPr>
          <w:rFonts w:hint="eastAsia" w:ascii="宋体" w:hAnsi="宋体" w:eastAsia="宋体" w:cs="宋体"/>
          <w:bCs/>
          <w:color w:val="auto"/>
          <w:szCs w:val="21"/>
          <w:highlight w:val="none"/>
          <w:lang w:bidi="ar"/>
        </w:rPr>
        <w:t>指</w:t>
      </w:r>
      <w:r>
        <w:rPr>
          <w:rFonts w:hint="eastAsia" w:ascii="宋体" w:hAnsi="宋体" w:eastAsia="宋体" w:cs="宋体"/>
          <w:bCs/>
          <w:color w:val="auto"/>
          <w:szCs w:val="21"/>
          <w:highlight w:val="none"/>
          <w:lang w:eastAsia="zh-CN" w:bidi="ar"/>
        </w:rPr>
        <w:t>规模以上工业</w:t>
      </w:r>
      <w:r>
        <w:rPr>
          <w:rFonts w:hint="eastAsia" w:ascii="宋体" w:hAnsi="宋体" w:eastAsia="宋体" w:cs="宋体"/>
          <w:bCs/>
          <w:color w:val="auto"/>
          <w:szCs w:val="21"/>
          <w:highlight w:val="none"/>
          <w:lang w:bidi="ar"/>
        </w:rPr>
        <w:t>企业从事销售商品、提供劳务和让渡资产使用权等生产经营活动形成的经济利益流入。包括“主营业务收入”和“其他业务收入”。根据会计“利润表”中“营业收入”项目的本年累计数填报。</w:t>
      </w:r>
    </w:p>
    <w:p w14:paraId="21B144FF">
      <w:pPr>
        <w:spacing w:after="0" w:line="400" w:lineRule="exact"/>
        <w:ind w:left="0" w:firstLine="420"/>
        <w:rPr>
          <w:rFonts w:hint="eastAsia" w:ascii="黑体" w:hAnsi="宋体" w:eastAsia="黑体" w:cs="黑体"/>
          <w:bCs/>
          <w:color w:val="auto"/>
          <w:szCs w:val="21"/>
          <w:highlight w:val="none"/>
          <w:lang w:bidi="ar"/>
        </w:rPr>
      </w:pPr>
      <w:r>
        <w:rPr>
          <w:rFonts w:hint="eastAsia" w:ascii="黑体" w:hAnsi="宋体" w:eastAsia="黑体" w:cs="黑体"/>
          <w:bCs/>
          <w:color w:val="auto"/>
          <w:szCs w:val="21"/>
          <w:highlight w:val="none"/>
          <w:lang w:bidi="ar"/>
        </w:rPr>
        <w:t>数字产业</w:t>
      </w:r>
      <w:r>
        <w:rPr>
          <w:rFonts w:hint="eastAsia" w:ascii="宋体" w:hAnsi="宋体" w:eastAsia="宋体" w:cs="宋体"/>
          <w:bCs/>
          <w:color w:val="auto"/>
          <w:szCs w:val="21"/>
          <w:highlight w:val="none"/>
          <w:shd w:val="clear" w:color="auto" w:fill="FFFFFF"/>
          <w:lang w:bidi="ar"/>
        </w:rPr>
        <w:t>指提供与数字技术相关产品和服务的产业，主要范围包括电子信息制造业、软件和信息技术服务业、通信业、互联网和相关服务业，按照工业和信息化部制定的电子信息制造业、软件和信息技术服务业、信息通信业统计调查制度规定的统计范围和分类执行。</w:t>
      </w:r>
    </w:p>
    <w:p w14:paraId="728B8184">
      <w:pPr>
        <w:spacing w:after="0" w:line="400" w:lineRule="exact"/>
        <w:ind w:left="0" w:firstLine="420"/>
        <w:rPr>
          <w:rFonts w:hint="eastAsia" w:ascii="宋体" w:hAnsi="宋体" w:eastAsia="宋体" w:cs="宋体"/>
          <w:bCs/>
          <w:color w:val="auto"/>
          <w:szCs w:val="21"/>
          <w:highlight w:val="none"/>
          <w:lang w:eastAsia="zh-CN" w:bidi="ar"/>
        </w:rPr>
      </w:pPr>
      <w:r>
        <w:rPr>
          <w:rFonts w:hint="eastAsia" w:ascii="黑体" w:hAnsi="宋体" w:eastAsia="黑体" w:cs="黑体"/>
          <w:bCs/>
          <w:color w:val="auto"/>
          <w:szCs w:val="21"/>
          <w:highlight w:val="none"/>
          <w:lang w:eastAsia="zh-CN" w:bidi="ar"/>
        </w:rPr>
        <w:t>规模以上工业企业净利润</w:t>
      </w:r>
      <w:r>
        <w:rPr>
          <w:rFonts w:hint="eastAsia" w:ascii="宋体" w:hAnsi="宋体" w:eastAsia="宋体" w:cs="宋体"/>
          <w:bCs/>
          <w:color w:val="auto"/>
          <w:kern w:val="2"/>
          <w:sz w:val="21"/>
          <w:szCs w:val="21"/>
          <w:highlight w:val="none"/>
          <w:lang w:val="en-US" w:eastAsia="zh-CN" w:bidi="ar"/>
        </w:rPr>
        <w:t>指规模以上工业企业</w:t>
      </w:r>
      <w:r>
        <w:rPr>
          <w:color w:val="auto"/>
          <w:highlight w:val="none"/>
        </w:rPr>
        <w:t>实现的利润在上交国家所得税后的剩余部分</w:t>
      </w:r>
      <w:r>
        <w:rPr>
          <w:rFonts w:hint="eastAsia"/>
          <w:color w:val="auto"/>
          <w:highlight w:val="none"/>
        </w:rPr>
        <w:t>，</w:t>
      </w:r>
      <w:r>
        <w:rPr>
          <w:color w:val="auto"/>
          <w:highlight w:val="none"/>
        </w:rPr>
        <w:t>按会计“损益表”中“净利润”项</w:t>
      </w:r>
      <w:r>
        <w:rPr>
          <w:rFonts w:hint="eastAsia"/>
          <w:color w:val="auto"/>
          <w:highlight w:val="none"/>
        </w:rPr>
        <w:t>目</w:t>
      </w:r>
      <w:r>
        <w:rPr>
          <w:color w:val="auto"/>
          <w:highlight w:val="none"/>
        </w:rPr>
        <w:t>的本年累计数填</w:t>
      </w:r>
      <w:r>
        <w:rPr>
          <w:rFonts w:hint="eastAsia"/>
          <w:color w:val="auto"/>
          <w:highlight w:val="none"/>
        </w:rPr>
        <w:t>报</w:t>
      </w:r>
      <w:r>
        <w:rPr>
          <w:color w:val="auto"/>
          <w:highlight w:val="none"/>
        </w:rPr>
        <w:t>。</w:t>
      </w:r>
    </w:p>
    <w:p w14:paraId="654DCF0F">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szCs w:val="21"/>
          <w:highlight w:val="none"/>
          <w:lang w:bidi="ar"/>
        </w:rPr>
        <w:t>进出口总额</w:t>
      </w:r>
      <w:r>
        <w:rPr>
          <w:rFonts w:hint="eastAsia" w:ascii="宋体" w:hAnsi="宋体" w:eastAsia="宋体" w:cs="宋体"/>
          <w:bCs/>
          <w:color w:val="auto"/>
          <w:szCs w:val="21"/>
          <w:highlight w:val="none"/>
          <w:lang w:bidi="ar"/>
        </w:rPr>
        <w:t>指实际进出我国国境的货物、技术和服务交易的总金额。包括对外贸易实际进出口货物，来料加工装配进出口货物，国家间、联合国及国际组织无偿援助物资和赠送品，华侨、港澳台同胞和外籍华人捐赠品，租赁期满归承租人所有的租赁货物，进料加工进出口货物，边境地方贸易及边境地区小额贸易进出口货物（边民互市贸易除外），中外合资企业、中外合作经营企业、外商独资经营企业进出口货物和公用物品，到、离岸价格在规定限额以上的进出口货样和广告品（无商业价值、无使用价值和免费提供出口的除外）、从保税仓库提取在中国境内销售的进口货物，以及其他进出口货物、进出口技术及服务等。该指标可以观察一个国家在对外贸易方面的总规模。我国规定出口货物按离岸价格统计，进口货物按到岸价格统计。</w:t>
      </w:r>
    </w:p>
    <w:p w14:paraId="06B25D30">
      <w:pPr>
        <w:spacing w:after="0" w:line="400" w:lineRule="exact"/>
        <w:ind w:left="0" w:firstLine="420"/>
        <w:rPr>
          <w:rFonts w:hint="eastAsia" w:ascii="宋体" w:hAnsi="宋体" w:eastAsia="宋体" w:cs="宋体"/>
          <w:bCs/>
          <w:color w:val="auto"/>
          <w:szCs w:val="21"/>
          <w:highlight w:val="none"/>
          <w:lang w:eastAsia="zh-CN" w:bidi="ar"/>
        </w:rPr>
      </w:pPr>
      <w:r>
        <w:rPr>
          <w:rFonts w:hint="eastAsia" w:ascii="黑体" w:hAnsi="宋体" w:eastAsia="黑体" w:cs="黑体"/>
          <w:bCs/>
          <w:color w:val="auto"/>
          <w:szCs w:val="21"/>
          <w:highlight w:val="none"/>
          <w:lang w:eastAsia="zh-CN" w:bidi="ar"/>
        </w:rPr>
        <w:t>规模以上工业企业出口总额</w:t>
      </w:r>
      <w:r>
        <w:rPr>
          <w:rFonts w:hint="eastAsia" w:ascii="宋体" w:hAnsi="宋体" w:eastAsia="宋体" w:cs="宋体"/>
          <w:bCs/>
          <w:color w:val="auto"/>
          <w:szCs w:val="21"/>
          <w:highlight w:val="none"/>
          <w:lang w:eastAsia="zh-CN" w:bidi="ar"/>
        </w:rPr>
        <w:t>指规模以上工业企业</w:t>
      </w:r>
      <w:r>
        <w:rPr>
          <w:rFonts w:hint="eastAsia" w:ascii="宋体" w:hAnsi="宋体" w:eastAsia="宋体" w:cs="宋体"/>
          <w:bCs/>
          <w:color w:val="auto"/>
          <w:szCs w:val="21"/>
          <w:highlight w:val="none"/>
          <w:lang w:bidi="ar"/>
        </w:rPr>
        <w:t>实际输出我国国境的货物和服务总金额。</w:t>
      </w:r>
    </w:p>
    <w:p w14:paraId="4EB5AEEB">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szCs w:val="21"/>
          <w:highlight w:val="none"/>
          <w:lang w:eastAsia="zh-CN" w:bidi="ar"/>
        </w:rPr>
        <w:t>规模以上工业企业</w:t>
      </w:r>
      <w:r>
        <w:rPr>
          <w:rFonts w:hint="eastAsia" w:ascii="黑体" w:hAnsi="宋体" w:eastAsia="黑体" w:cs="黑体"/>
          <w:bCs/>
          <w:color w:val="auto"/>
          <w:szCs w:val="21"/>
          <w:highlight w:val="none"/>
          <w:lang w:bidi="ar"/>
        </w:rPr>
        <w:t>实际上缴税费总额</w:t>
      </w:r>
      <w:r>
        <w:rPr>
          <w:rFonts w:hint="eastAsia" w:ascii="宋体" w:hAnsi="宋体" w:eastAsia="宋体" w:cs="宋体"/>
          <w:bCs/>
          <w:color w:val="auto"/>
          <w:szCs w:val="21"/>
          <w:highlight w:val="none"/>
          <w:lang w:bidi="ar"/>
        </w:rPr>
        <w:t>指规模以上工业企业在报告期内</w:t>
      </w:r>
      <w:r>
        <w:rPr>
          <w:rFonts w:hint="eastAsia" w:ascii="宋体" w:hAnsi="宋体" w:eastAsia="宋体" w:cs="宋体"/>
          <w:bCs/>
          <w:color w:val="auto"/>
          <w:szCs w:val="21"/>
          <w:highlight w:val="none"/>
          <w:lang w:eastAsia="zh-CN" w:bidi="ar"/>
        </w:rPr>
        <w:t>，</w:t>
      </w:r>
      <w:r>
        <w:rPr>
          <w:rFonts w:hint="eastAsia" w:ascii="宋体" w:hAnsi="宋体" w:eastAsia="宋体" w:cs="宋体"/>
          <w:bCs/>
          <w:color w:val="auto"/>
          <w:szCs w:val="21"/>
          <w:highlight w:val="none"/>
          <w:lang w:bidi="ar"/>
        </w:rPr>
        <w:t>因生产经营等活动而实际上缴的各项税金、特种基金和附加费，包含印花税、土地使用税、房地产税及教育附加费等，不包含代扣代缴个人所得税和关税。按当年实际发生额填报。</w:t>
      </w:r>
    </w:p>
    <w:p w14:paraId="7DF452BB">
      <w:pPr>
        <w:spacing w:after="0" w:line="400" w:lineRule="exact"/>
        <w:ind w:left="0" w:firstLine="420"/>
        <w:rPr>
          <w:rFonts w:hint="default" w:ascii="宋体" w:hAnsi="宋体" w:eastAsia="宋体" w:cs="宋体"/>
          <w:bCs/>
          <w:color w:val="auto"/>
          <w:szCs w:val="21"/>
          <w:highlight w:val="none"/>
          <w:lang w:bidi="ar"/>
        </w:rPr>
      </w:pPr>
      <w:r>
        <w:rPr>
          <w:rFonts w:hint="eastAsia" w:ascii="黑体" w:hAnsi="宋体" w:eastAsia="黑体" w:cs="黑体"/>
          <w:bCs/>
          <w:color w:val="auto"/>
          <w:szCs w:val="21"/>
          <w:highlight w:val="none"/>
          <w:lang w:eastAsia="zh-CN" w:bidi="ar"/>
        </w:rPr>
        <w:t>制造业</w:t>
      </w:r>
      <w:r>
        <w:rPr>
          <w:rFonts w:hint="default" w:ascii="黑体" w:hAnsi="宋体" w:eastAsia="黑体" w:cs="黑体"/>
          <w:bCs/>
          <w:color w:val="auto"/>
          <w:szCs w:val="21"/>
          <w:highlight w:val="none"/>
          <w:lang w:bidi="ar"/>
        </w:rPr>
        <w:t>实际利用外资金额</w:t>
      </w:r>
      <w:r>
        <w:rPr>
          <w:rFonts w:hint="default" w:ascii="宋体" w:hAnsi="宋体" w:eastAsia="宋体" w:cs="宋体"/>
          <w:bCs/>
          <w:color w:val="auto"/>
          <w:szCs w:val="21"/>
          <w:highlight w:val="none"/>
          <w:lang w:bidi="ar"/>
        </w:rPr>
        <w:t>指</w:t>
      </w:r>
      <w:r>
        <w:rPr>
          <w:rFonts w:hint="eastAsia" w:ascii="宋体" w:hAnsi="宋体" w:eastAsia="宋体" w:cs="宋体"/>
          <w:bCs/>
          <w:color w:val="auto"/>
          <w:szCs w:val="21"/>
          <w:highlight w:val="none"/>
          <w:lang w:eastAsia="zh-CN" w:bidi="ar"/>
        </w:rPr>
        <w:t>制造业企业</w:t>
      </w:r>
      <w:r>
        <w:rPr>
          <w:rFonts w:hint="default" w:ascii="宋体" w:hAnsi="宋体" w:eastAsia="宋体" w:cs="宋体"/>
          <w:bCs/>
          <w:color w:val="auto"/>
          <w:szCs w:val="21"/>
          <w:highlight w:val="none"/>
          <w:lang w:bidi="ar"/>
        </w:rPr>
        <w:t>批准的合同利用外资金额的实际执行数，即根据批准外商投资企业的合同（章程）的规定外国投资者实际缴付的出资额和企业投资总额内的外国投资者以自己的境外自有资金实际直接向企业提供的贷款。</w:t>
      </w:r>
    </w:p>
    <w:p w14:paraId="19662125">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财政收入</w:t>
      </w:r>
      <w:r>
        <w:rPr>
          <w:rFonts w:hint="eastAsia" w:ascii="宋体" w:hAnsi="宋体" w:eastAsia="宋体" w:cs="宋体"/>
          <w:bCs/>
          <w:color w:val="auto"/>
          <w:kern w:val="2"/>
          <w:sz w:val="21"/>
          <w:szCs w:val="21"/>
          <w:highlight w:val="none"/>
          <w:lang w:val="en-US" w:eastAsia="zh-CN" w:bidi="ar"/>
        </w:rPr>
        <w:t>指国家财政参与社会产品分配所取得的收入，是实现国家职能的财力保证。主要包括：（</w:t>
      </w:r>
      <w:r>
        <w:rPr>
          <w:rFonts w:hint="default" w:ascii="Times New Roman" w:hAnsi="Times New Roman" w:eastAsia="宋体" w:cs="Times New Roman"/>
          <w:bCs/>
          <w:color w:val="auto"/>
          <w:kern w:val="2"/>
          <w:sz w:val="21"/>
          <w:szCs w:val="21"/>
          <w:highlight w:val="none"/>
          <w:lang w:val="en-US" w:eastAsia="zh-CN" w:bidi="ar"/>
        </w:rPr>
        <w:t>1</w:t>
      </w:r>
      <w:r>
        <w:rPr>
          <w:rFonts w:hint="eastAsia" w:ascii="宋体" w:hAnsi="宋体" w:eastAsia="宋体" w:cs="宋体"/>
          <w:bCs/>
          <w:color w:val="auto"/>
          <w:kern w:val="2"/>
          <w:sz w:val="21"/>
          <w:szCs w:val="21"/>
          <w:highlight w:val="none"/>
          <w:lang w:val="en-US" w:eastAsia="zh-CN" w:bidi="ar"/>
        </w:rPr>
        <w:t>）各项税收：包括国内增值税、国内消费税、进口货物增值税和消费税、出口货物增值税和消费税、营业税、企业所得税、个人所得税、资源税、城市维护建设税、房产税、印花税、城镇土地使用税、土地增值税、车船税、船舶吨税、车辆购置税、关税、耕地占用税、契税、烟叶税等。（</w:t>
      </w:r>
      <w:r>
        <w:rPr>
          <w:rFonts w:hint="default" w:ascii="Times New Roman" w:hAnsi="Times New Roman" w:eastAsia="宋体" w:cs="Times New Roman"/>
          <w:bCs/>
          <w:color w:val="auto"/>
          <w:kern w:val="2"/>
          <w:sz w:val="21"/>
          <w:szCs w:val="21"/>
          <w:highlight w:val="none"/>
          <w:lang w:val="en-US" w:eastAsia="zh-CN" w:bidi="ar"/>
        </w:rPr>
        <w:t>2</w:t>
      </w:r>
      <w:r>
        <w:rPr>
          <w:rFonts w:hint="eastAsia" w:ascii="宋体" w:hAnsi="宋体" w:eastAsia="宋体" w:cs="宋体"/>
          <w:bCs/>
          <w:color w:val="auto"/>
          <w:kern w:val="2"/>
          <w:sz w:val="21"/>
          <w:szCs w:val="21"/>
          <w:highlight w:val="none"/>
          <w:lang w:val="en-US" w:eastAsia="zh-CN" w:bidi="ar"/>
        </w:rPr>
        <w:t>）非税收入：包括专项收入、行政事业性收费、罚没收入和其他收入。财政收入按现行分税制财政体制划分为中央本级收入和地方本级收入。</w:t>
      </w:r>
    </w:p>
    <w:p w14:paraId="0B851CCC">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高新区财政收入</w:t>
      </w:r>
      <w:r>
        <w:rPr>
          <w:rFonts w:hint="eastAsia" w:ascii="宋体" w:hAnsi="宋体" w:eastAsia="宋体" w:cs="宋体"/>
          <w:bCs/>
          <w:color w:val="auto"/>
          <w:kern w:val="2"/>
          <w:sz w:val="21"/>
          <w:szCs w:val="21"/>
          <w:highlight w:val="none"/>
          <w:lang w:val="en-US" w:eastAsia="zh-CN" w:bidi="ar"/>
        </w:rPr>
        <w:t>指包括财政部门组织的收入、税务部门组织的收入等，是财政大收入的概念。没有一级财政管理权限的高新区，请填</w:t>
      </w:r>
      <w:r>
        <w:rPr>
          <w:rFonts w:hint="default" w:ascii="Calibri" w:hAnsi="Calibri" w:eastAsia="宋体" w:cs="Calibri"/>
          <w:bCs/>
          <w:color w:val="auto"/>
          <w:kern w:val="2"/>
          <w:sz w:val="21"/>
          <w:szCs w:val="21"/>
          <w:highlight w:val="none"/>
          <w:lang w:val="en-US" w:eastAsia="zh-CN" w:bidi="ar"/>
        </w:rPr>
        <w:t>0</w:t>
      </w:r>
      <w:r>
        <w:rPr>
          <w:rFonts w:hint="eastAsia" w:ascii="宋体" w:hAnsi="宋体" w:eastAsia="宋体" w:cs="宋体"/>
          <w:bCs/>
          <w:color w:val="auto"/>
          <w:kern w:val="2"/>
          <w:sz w:val="21"/>
          <w:szCs w:val="21"/>
          <w:highlight w:val="none"/>
          <w:lang w:val="en-US" w:eastAsia="zh-CN" w:bidi="ar"/>
        </w:rPr>
        <w:t>。</w:t>
      </w:r>
    </w:p>
    <w:p w14:paraId="3E8652F8">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税收收入</w:t>
      </w:r>
      <w:r>
        <w:rPr>
          <w:rFonts w:hint="eastAsia" w:ascii="宋体" w:hAnsi="宋体" w:eastAsia="宋体" w:cs="宋体"/>
          <w:bCs/>
          <w:color w:val="auto"/>
          <w:kern w:val="2"/>
          <w:sz w:val="21"/>
          <w:szCs w:val="21"/>
          <w:highlight w:val="none"/>
          <w:lang w:val="en-US" w:eastAsia="zh-CN" w:bidi="ar"/>
        </w:rPr>
        <w:t>指国家高新区内国家税收部门以及地方税收部门所征收的所有税收，不包括关税和海关代征的其它税收（进口货物增值税、进口货物消费税）。</w:t>
      </w:r>
    </w:p>
    <w:p w14:paraId="5D4BCC2B">
      <w:pPr>
        <w:spacing w:after="0" w:line="400" w:lineRule="exact"/>
        <w:ind w:left="0" w:firstLine="420"/>
        <w:rPr>
          <w:rFonts w:hint="eastAsia" w:ascii="宋体" w:hAnsi="宋体" w:eastAsia="宋体" w:cs="宋体"/>
          <w:bCs/>
          <w:color w:val="auto"/>
          <w:szCs w:val="21"/>
          <w:highlight w:val="none"/>
          <w:lang w:bidi="ar"/>
        </w:rPr>
      </w:pPr>
      <w:r>
        <w:rPr>
          <w:rFonts w:hint="eastAsia" w:ascii="黑体" w:hAnsi="宋体" w:eastAsia="黑体" w:cs="黑体"/>
          <w:bCs/>
          <w:color w:val="auto"/>
          <w:szCs w:val="21"/>
          <w:highlight w:val="none"/>
          <w:lang w:eastAsia="zh-CN" w:bidi="ar"/>
        </w:rPr>
        <w:t>规模以上</w:t>
      </w:r>
      <w:r>
        <w:rPr>
          <w:rFonts w:hint="eastAsia" w:ascii="黑体" w:hAnsi="宋体" w:eastAsia="黑体" w:cs="黑体"/>
          <w:bCs/>
          <w:color w:val="auto"/>
          <w:szCs w:val="21"/>
          <w:highlight w:val="none"/>
          <w:lang w:bidi="ar"/>
        </w:rPr>
        <w:t>工业企业税收收入</w:t>
      </w:r>
      <w:r>
        <w:rPr>
          <w:rFonts w:hint="eastAsia" w:ascii="宋体" w:hAnsi="宋体" w:eastAsia="宋体" w:cs="宋体"/>
          <w:bCs/>
          <w:color w:val="auto"/>
          <w:szCs w:val="21"/>
          <w:highlight w:val="none"/>
          <w:lang w:bidi="ar"/>
        </w:rPr>
        <w:t>指高新区内</w:t>
      </w:r>
      <w:r>
        <w:rPr>
          <w:rFonts w:hint="eastAsia" w:ascii="宋体" w:hAnsi="宋体" w:eastAsia="宋体" w:cs="宋体"/>
          <w:bCs/>
          <w:color w:val="auto"/>
          <w:szCs w:val="21"/>
          <w:highlight w:val="none"/>
          <w:lang w:eastAsia="zh-CN" w:bidi="ar"/>
        </w:rPr>
        <w:t>规模以上</w:t>
      </w:r>
      <w:r>
        <w:rPr>
          <w:rFonts w:hint="eastAsia" w:ascii="宋体" w:hAnsi="宋体" w:eastAsia="宋体" w:cs="宋体"/>
          <w:bCs/>
          <w:color w:val="auto"/>
          <w:szCs w:val="21"/>
          <w:highlight w:val="none"/>
          <w:lang w:bidi="ar"/>
        </w:rPr>
        <w:t>工业企业缴纳税收总和。</w:t>
      </w:r>
    </w:p>
    <w:p w14:paraId="0F1B3370">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2"/>
          <w:sz w:val="21"/>
          <w:szCs w:val="21"/>
          <w:highlight w:val="none"/>
          <w:lang w:val="en-US" w:eastAsia="zh-CN" w:bidi="ar"/>
        </w:rPr>
      </w:pPr>
      <w:r>
        <w:rPr>
          <w:rFonts w:hint="eastAsia" w:ascii="黑体" w:hAnsi="宋体" w:eastAsia="黑体" w:cs="黑体"/>
          <w:bCs/>
          <w:color w:val="auto"/>
          <w:kern w:val="2"/>
          <w:sz w:val="21"/>
          <w:szCs w:val="21"/>
          <w:highlight w:val="none"/>
          <w:lang w:val="en-US" w:eastAsia="zh-CN" w:bidi="ar"/>
        </w:rPr>
        <w:t>固定资产投资额（不含农户）</w:t>
      </w:r>
      <w:r>
        <w:rPr>
          <w:rFonts w:hint="eastAsia" w:ascii="宋体" w:hAnsi="宋体" w:eastAsia="宋体" w:cs="宋体"/>
          <w:bCs/>
          <w:color w:val="auto"/>
          <w:kern w:val="2"/>
          <w:sz w:val="21"/>
          <w:szCs w:val="21"/>
          <w:highlight w:val="none"/>
          <w:lang w:val="en-US" w:eastAsia="zh-CN" w:bidi="ar"/>
        </w:rPr>
        <w:t>指报告期内高新区内各种登记注册类型的企业、事业、行政单位及城镇个体户进行的计划总投资500万元及以上的建设项目投资和房地产开发投资，包括原口径的城镇固定资产投资加上农村企事业组织项目投资。</w:t>
      </w:r>
    </w:p>
    <w:p w14:paraId="3BC8748A">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cs="宋体"/>
          <w:bCs/>
          <w:color w:val="auto"/>
          <w:szCs w:val="21"/>
          <w:highlight w:val="none"/>
          <w:lang w:bidi="ar"/>
        </w:rPr>
      </w:pPr>
      <w:r>
        <w:rPr>
          <w:rFonts w:hint="eastAsia" w:ascii="黑体" w:hAnsi="宋体" w:eastAsia="黑体" w:cs="黑体"/>
          <w:bCs/>
          <w:color w:val="auto"/>
          <w:szCs w:val="21"/>
          <w:highlight w:val="none"/>
          <w:lang w:bidi="ar"/>
        </w:rPr>
        <w:t>民间投资</w:t>
      </w:r>
      <w:r>
        <w:rPr>
          <w:rFonts w:hint="eastAsia" w:ascii="宋体" w:hAnsi="宋体" w:cs="宋体"/>
          <w:bCs/>
          <w:color w:val="auto"/>
          <w:szCs w:val="21"/>
          <w:highlight w:val="none"/>
          <w:lang w:bidi="ar"/>
        </w:rPr>
        <w:t>指具有集体、私营、个人性质的内资调查单位以及由其控股（包括绝对控股和相对控股）的调查单位在中华人民共和国境内建造或购置固定资产的投资。民间固定资产投资统计范围根据固定资产投资项目单位的市场主体登记注册类型和控股情况来确定，包括：（1）市场主体登记注册的集体、股份合作、私营独资、私营合伙、私营有限责任公司、个体户、个人合伙等纯民间主体的固定资产投资；（2）市场主体登记注册的混合经济成分中由集体、私营、个人控股的投资主体单位的全部固定资产投资。</w:t>
      </w:r>
    </w:p>
    <w:p w14:paraId="7FEB6ECD">
      <w:pPr>
        <w:keepNext w:val="0"/>
        <w:keepLines w:val="0"/>
        <w:widowControl w:val="0"/>
        <w:suppressLineNumbers w:val="0"/>
        <w:spacing w:before="0" w:beforeAutospacing="0" w:after="0" w:afterAutospacing="0" w:line="400" w:lineRule="exact"/>
        <w:ind w:left="0" w:right="0" w:firstLine="420" w:firstLineChars="200"/>
        <w:jc w:val="both"/>
        <w:rPr>
          <w:rFonts w:hint="eastAsia" w:ascii="Arial" w:hAnsi="Arial" w:eastAsia="Arial" w:cs="Arial"/>
          <w:color w:val="auto"/>
          <w:sz w:val="19"/>
          <w:szCs w:val="19"/>
          <w:highlight w:val="none"/>
          <w:shd w:val="clear" w:color="auto" w:fill="FFFFFF"/>
        </w:rPr>
      </w:pPr>
      <w:r>
        <w:rPr>
          <w:rFonts w:hint="eastAsia" w:ascii="黑体" w:hAnsi="宋体" w:eastAsia="黑体" w:cs="黑体"/>
          <w:bCs/>
          <w:color w:val="auto"/>
          <w:szCs w:val="21"/>
          <w:highlight w:val="none"/>
          <w:lang w:bidi="ar"/>
        </w:rPr>
        <w:t>工业固定资产投资</w:t>
      </w:r>
      <w:r>
        <w:rPr>
          <w:rFonts w:hint="eastAsia" w:ascii="宋体" w:hAnsi="宋体" w:cs="宋体"/>
          <w:bCs/>
          <w:color w:val="auto"/>
          <w:szCs w:val="21"/>
          <w:highlight w:val="none"/>
          <w:lang w:bidi="ar"/>
        </w:rPr>
        <w:t>指项目行业编码在06到46之间的固定资产投资项目。</w:t>
      </w:r>
    </w:p>
    <w:p w14:paraId="1E54020A">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cs="宋体"/>
          <w:bCs/>
          <w:color w:val="auto"/>
          <w:szCs w:val="21"/>
          <w:highlight w:val="none"/>
          <w:lang w:bidi="ar"/>
        </w:rPr>
      </w:pPr>
      <w:r>
        <w:rPr>
          <w:rFonts w:hint="eastAsia" w:ascii="黑体" w:hAnsi="宋体" w:eastAsia="黑体" w:cs="黑体"/>
          <w:bCs/>
          <w:color w:val="auto"/>
          <w:szCs w:val="21"/>
          <w:highlight w:val="none"/>
          <w:lang w:bidi="ar"/>
        </w:rPr>
        <w:t>制造业固定资产投资</w:t>
      </w:r>
      <w:r>
        <w:rPr>
          <w:rFonts w:hint="eastAsia" w:ascii="宋体" w:hAnsi="宋体" w:cs="宋体"/>
          <w:bCs/>
          <w:color w:val="auto"/>
          <w:szCs w:val="21"/>
          <w:highlight w:val="none"/>
          <w:lang w:eastAsia="zh-CN" w:bidi="ar"/>
        </w:rPr>
        <w:t>指</w:t>
      </w:r>
      <w:r>
        <w:rPr>
          <w:rFonts w:hint="eastAsia" w:ascii="宋体" w:hAnsi="宋体" w:cs="宋体"/>
          <w:bCs/>
          <w:color w:val="auto"/>
          <w:szCs w:val="21"/>
          <w:highlight w:val="none"/>
          <w:lang w:bidi="ar"/>
        </w:rPr>
        <w:t>项目行业编码</w:t>
      </w:r>
      <w:r>
        <w:rPr>
          <w:rFonts w:hint="eastAsia" w:ascii="宋体" w:hAnsi="宋体" w:cs="宋体"/>
          <w:bCs/>
          <w:color w:val="auto"/>
          <w:szCs w:val="21"/>
          <w:highlight w:val="none"/>
          <w:lang w:eastAsia="zh-CN" w:bidi="ar"/>
        </w:rPr>
        <w:t>在</w:t>
      </w:r>
      <w:r>
        <w:rPr>
          <w:rFonts w:hint="eastAsia" w:ascii="宋体" w:hAnsi="宋体" w:cs="宋体"/>
          <w:bCs/>
          <w:color w:val="auto"/>
          <w:szCs w:val="21"/>
          <w:highlight w:val="none"/>
          <w:lang w:bidi="ar"/>
        </w:rPr>
        <w:t>13</w:t>
      </w:r>
      <w:r>
        <w:rPr>
          <w:rFonts w:hint="eastAsia" w:ascii="宋体" w:hAnsi="宋体" w:cs="宋体"/>
          <w:bCs/>
          <w:color w:val="auto"/>
          <w:szCs w:val="21"/>
          <w:highlight w:val="none"/>
          <w:lang w:eastAsia="zh-CN" w:bidi="ar"/>
        </w:rPr>
        <w:t>到</w:t>
      </w:r>
      <w:r>
        <w:rPr>
          <w:rFonts w:hint="eastAsia" w:ascii="宋体" w:hAnsi="宋体" w:cs="宋体"/>
          <w:bCs/>
          <w:color w:val="auto"/>
          <w:szCs w:val="21"/>
          <w:highlight w:val="none"/>
          <w:lang w:bidi="ar"/>
        </w:rPr>
        <w:t>43</w:t>
      </w:r>
      <w:r>
        <w:rPr>
          <w:rFonts w:hint="eastAsia" w:ascii="宋体" w:hAnsi="宋体" w:cs="宋体"/>
          <w:bCs/>
          <w:color w:val="auto"/>
          <w:szCs w:val="21"/>
          <w:highlight w:val="none"/>
          <w:lang w:eastAsia="zh-CN" w:bidi="ar"/>
        </w:rPr>
        <w:t>之间的</w:t>
      </w:r>
      <w:r>
        <w:rPr>
          <w:rFonts w:hint="eastAsia" w:ascii="宋体" w:hAnsi="宋体" w:cs="宋体"/>
          <w:bCs/>
          <w:color w:val="auto"/>
          <w:szCs w:val="21"/>
          <w:highlight w:val="none"/>
          <w:lang w:bidi="ar"/>
        </w:rPr>
        <w:t>固定资产投资项目。</w:t>
      </w:r>
    </w:p>
    <w:p w14:paraId="05A8490B">
      <w:pPr>
        <w:keepNext w:val="0"/>
        <w:keepLines w:val="0"/>
        <w:widowControl w:val="0"/>
        <w:suppressLineNumbers w:val="0"/>
        <w:spacing w:before="0" w:beforeAutospacing="0" w:after="0" w:afterAutospacing="0" w:line="400" w:lineRule="exact"/>
        <w:ind w:left="0" w:right="0" w:firstLine="420" w:firstLineChars="200"/>
        <w:jc w:val="both"/>
        <w:rPr>
          <w:rFonts w:hint="eastAsia" w:ascii="宋体" w:hAnsi="宋体" w:cs="宋体"/>
          <w:bCs/>
          <w:color w:val="auto"/>
          <w:szCs w:val="21"/>
          <w:highlight w:val="none"/>
          <w:lang w:bidi="ar"/>
        </w:rPr>
      </w:pPr>
      <w:r>
        <w:rPr>
          <w:rFonts w:hint="eastAsia" w:ascii="黑体" w:hAnsi="宋体" w:eastAsia="黑体" w:cs="黑体"/>
          <w:bCs/>
          <w:color w:val="auto"/>
          <w:szCs w:val="21"/>
          <w:highlight w:val="none"/>
          <w:lang w:bidi="ar"/>
        </w:rPr>
        <w:t>制造业民间投资</w:t>
      </w:r>
      <w:r>
        <w:rPr>
          <w:rFonts w:hint="eastAsia" w:ascii="宋体" w:hAnsi="宋体" w:cs="宋体"/>
          <w:bCs/>
          <w:color w:val="auto"/>
          <w:szCs w:val="21"/>
          <w:highlight w:val="none"/>
          <w:lang w:eastAsia="zh-CN" w:bidi="ar"/>
        </w:rPr>
        <w:t>指</w:t>
      </w:r>
      <w:r>
        <w:rPr>
          <w:rFonts w:hint="eastAsia" w:ascii="宋体" w:hAnsi="宋体" w:cs="宋体"/>
          <w:bCs/>
          <w:color w:val="auto"/>
          <w:szCs w:val="21"/>
          <w:highlight w:val="none"/>
          <w:lang w:bidi="ar"/>
        </w:rPr>
        <w:t>固定资产投资项目单位</w:t>
      </w:r>
      <w:r>
        <w:rPr>
          <w:rFonts w:hint="eastAsia" w:ascii="宋体" w:hAnsi="宋体" w:cs="宋体"/>
          <w:bCs/>
          <w:color w:val="auto"/>
          <w:szCs w:val="21"/>
          <w:highlight w:val="none"/>
          <w:lang w:eastAsia="zh-CN" w:bidi="ar"/>
        </w:rPr>
        <w:t>为制造业企业的民间固定资产投资。</w:t>
      </w:r>
    </w:p>
    <w:p w14:paraId="4EB3741A">
      <w:pPr>
        <w:keepNext w:val="0"/>
        <w:keepLines w:val="0"/>
        <w:widowControl w:val="0"/>
        <w:suppressLineNumbers w:val="0"/>
        <w:shd w:val="clear" w:color="auto" w:fill="auto"/>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Times New Roman" w:hAnsi="Times New Roman" w:eastAsia="黑体" w:cs="Times New Roman"/>
          <w:bCs/>
          <w:color w:val="auto"/>
          <w:highlight w:val="none"/>
          <w:lang w:val="en-US" w:eastAsia="zh-CN"/>
        </w:rPr>
        <w:t>制造业企业技术改造投资</w:t>
      </w:r>
      <w:r>
        <w:rPr>
          <w:rFonts w:hint="eastAsia"/>
          <w:bCs/>
          <w:color w:val="auto"/>
          <w:highlight w:val="none"/>
          <w:lang w:val="en-US" w:eastAsia="zh-CN"/>
        </w:rPr>
        <w:t>指制造业企业采用新技术、新工艺、新设备、新材料对现有设施、工艺条件及生产服务等进行技术改造提升，实现内涵式发展的投资活动。</w:t>
      </w:r>
      <w:r>
        <w:rPr>
          <w:rFonts w:hint="eastAsia"/>
          <w:bCs/>
          <w:color w:val="auto"/>
          <w:highlight w:val="none"/>
          <w:lang w:eastAsia="zh-CN"/>
        </w:rPr>
        <w:t>制造业</w:t>
      </w:r>
      <w:r>
        <w:rPr>
          <w:rFonts w:hint="eastAsia"/>
          <w:bCs/>
          <w:color w:val="auto"/>
          <w:highlight w:val="none"/>
        </w:rPr>
        <w:t>企业技术改造</w:t>
      </w:r>
      <w:r>
        <w:rPr>
          <w:rFonts w:hint="eastAsia"/>
          <w:bCs/>
          <w:color w:val="auto"/>
          <w:highlight w:val="none"/>
          <w:lang w:eastAsia="zh-CN"/>
        </w:rPr>
        <w:t>投资</w:t>
      </w:r>
      <w:r>
        <w:rPr>
          <w:rFonts w:hint="eastAsia"/>
          <w:bCs/>
          <w:color w:val="auto"/>
          <w:highlight w:val="none"/>
        </w:rPr>
        <w:t>必须是</w:t>
      </w:r>
      <w:r>
        <w:rPr>
          <w:rFonts w:hint="eastAsia"/>
          <w:bCs/>
          <w:color w:val="auto"/>
          <w:highlight w:val="none"/>
          <w:lang w:eastAsia="zh-CN"/>
        </w:rPr>
        <w:t>制造业</w:t>
      </w:r>
      <w:r>
        <w:rPr>
          <w:rFonts w:hint="eastAsia"/>
          <w:bCs/>
          <w:color w:val="auto"/>
          <w:highlight w:val="none"/>
        </w:rPr>
        <w:t>投资（项目行业编码在</w:t>
      </w:r>
      <w:r>
        <w:rPr>
          <w:rFonts w:hint="eastAsia"/>
          <w:bCs/>
          <w:color w:val="auto"/>
          <w:highlight w:val="none"/>
          <w:lang w:eastAsia="zh-CN"/>
        </w:rPr>
        <w:t>1</w:t>
      </w:r>
      <w:r>
        <w:rPr>
          <w:rFonts w:hint="eastAsia"/>
          <w:bCs/>
          <w:color w:val="auto"/>
          <w:highlight w:val="none"/>
          <w:lang w:val="en-US" w:eastAsia="zh-CN"/>
        </w:rPr>
        <w:t>3</w:t>
      </w:r>
      <w:r>
        <w:rPr>
          <w:rFonts w:hint="eastAsia"/>
          <w:bCs/>
          <w:color w:val="auto"/>
          <w:highlight w:val="none"/>
        </w:rPr>
        <w:t>到</w:t>
      </w:r>
      <w:r>
        <w:rPr>
          <w:rFonts w:hint="eastAsia"/>
          <w:bCs/>
          <w:color w:val="auto"/>
          <w:highlight w:val="none"/>
          <w:lang w:eastAsia="zh-CN"/>
        </w:rPr>
        <w:t>4</w:t>
      </w:r>
      <w:r>
        <w:rPr>
          <w:rFonts w:hint="eastAsia"/>
          <w:bCs/>
          <w:color w:val="auto"/>
          <w:highlight w:val="none"/>
          <w:lang w:val="en-US" w:eastAsia="zh-CN"/>
        </w:rPr>
        <w:t>3</w:t>
      </w:r>
      <w:r>
        <w:rPr>
          <w:rFonts w:hint="eastAsia"/>
          <w:bCs/>
          <w:color w:val="auto"/>
          <w:highlight w:val="none"/>
        </w:rPr>
        <w:t>之间）</w:t>
      </w:r>
      <w:r>
        <w:rPr>
          <w:rFonts w:hint="eastAsia"/>
          <w:bCs/>
          <w:color w:val="auto"/>
          <w:highlight w:val="none"/>
          <w:lang w:eastAsia="zh-CN"/>
        </w:rPr>
        <w:t>，且项目类别为</w:t>
      </w:r>
      <w:r>
        <w:rPr>
          <w:rFonts w:hint="eastAsia"/>
          <w:bCs/>
          <w:color w:val="auto"/>
          <w:highlight w:val="none"/>
        </w:rPr>
        <w:t>工业企业技术改造项目</w:t>
      </w:r>
      <w:r>
        <w:rPr>
          <w:rFonts w:hint="eastAsia"/>
          <w:bCs/>
          <w:color w:val="auto"/>
          <w:highlight w:val="none"/>
          <w:lang w:eastAsia="zh-CN"/>
        </w:rPr>
        <w:t>。</w:t>
      </w:r>
    </w:p>
    <w:p w14:paraId="488DFC54">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园区新增注册企业数</w:t>
      </w:r>
      <w:r>
        <w:rPr>
          <w:rFonts w:hint="eastAsia" w:ascii="宋体" w:hAnsi="宋体" w:eastAsia="宋体" w:cs="宋体"/>
          <w:bCs/>
          <w:color w:val="auto"/>
          <w:kern w:val="2"/>
          <w:sz w:val="21"/>
          <w:szCs w:val="21"/>
          <w:highlight w:val="none"/>
          <w:lang w:val="en-US" w:eastAsia="zh-CN" w:bidi="ar"/>
        </w:rPr>
        <w:t>指报告期内在高新区市场监管部门新增的登记注册的企业个数，不含个体工商户。</w:t>
      </w:r>
    </w:p>
    <w:p w14:paraId="13903E76">
      <w:pPr>
        <w:widowControl/>
        <w:spacing w:before="0" w:beforeAutospacing="0" w:after="0" w:line="400" w:lineRule="exact"/>
        <w:ind w:left="0" w:right="0" w:firstLine="420" w:firstLineChars="200"/>
        <w:jc w:val="left"/>
        <w:rPr>
          <w:rFonts w:hint="eastAsia" w:ascii="宋体" w:hAnsi="宋体" w:eastAsia="宋体" w:cs="宋体"/>
          <w:bCs/>
          <w:color w:val="auto"/>
          <w:kern w:val="2"/>
          <w:sz w:val="21"/>
          <w:szCs w:val="21"/>
          <w:highlight w:val="none"/>
          <w:lang w:bidi="ar"/>
        </w:rPr>
      </w:pPr>
      <w:r>
        <w:rPr>
          <w:rFonts w:hint="eastAsia" w:ascii="黑体" w:hAnsi="宋体" w:eastAsia="黑体" w:cs="黑体"/>
          <w:bCs/>
          <w:color w:val="auto"/>
          <w:kern w:val="2"/>
          <w:sz w:val="21"/>
          <w:szCs w:val="21"/>
          <w:highlight w:val="none"/>
          <w:lang w:bidi="ar"/>
        </w:rPr>
        <w:t>民营企业数</w:t>
      </w:r>
      <w:r>
        <w:rPr>
          <w:rFonts w:hint="eastAsia" w:ascii="宋体" w:hAnsi="宋体" w:eastAsia="宋体" w:cs="宋体"/>
          <w:bCs/>
          <w:color w:val="auto"/>
          <w:kern w:val="2"/>
          <w:sz w:val="21"/>
          <w:szCs w:val="21"/>
          <w:highlight w:val="none"/>
          <w:lang w:bidi="ar"/>
        </w:rPr>
        <w:t>指报告期内在高新区市场监管部门新增登记注册为内资企业中的非国有独资、非国有控股的企业数。</w:t>
      </w:r>
    </w:p>
    <w:p w14:paraId="15F49F3B">
      <w:pPr>
        <w:widowControl/>
        <w:spacing w:before="0" w:beforeAutospacing="0" w:after="0" w:line="400" w:lineRule="exact"/>
        <w:ind w:left="0" w:right="0" w:firstLine="420" w:firstLineChars="200"/>
        <w:jc w:val="left"/>
        <w:rPr>
          <w:rFonts w:hint="eastAsia" w:ascii="宋体" w:hAnsi="宋体" w:eastAsia="宋体" w:cs="宋体"/>
          <w:bCs/>
          <w:color w:val="auto"/>
          <w:kern w:val="2"/>
          <w:sz w:val="21"/>
          <w:szCs w:val="21"/>
          <w:highlight w:val="none"/>
          <w:lang w:bidi="ar"/>
        </w:rPr>
      </w:pPr>
      <w:r>
        <w:rPr>
          <w:rFonts w:hint="eastAsia" w:ascii="黑体" w:hAnsi="宋体" w:eastAsia="黑体" w:cs="黑体"/>
          <w:bCs/>
          <w:color w:val="auto"/>
          <w:kern w:val="2"/>
          <w:sz w:val="21"/>
          <w:szCs w:val="21"/>
          <w:highlight w:val="none"/>
          <w:lang w:bidi="ar"/>
        </w:rPr>
        <w:t>外资（含港澳台）企业数</w:t>
      </w:r>
      <w:r>
        <w:rPr>
          <w:rFonts w:hint="eastAsia" w:ascii="宋体" w:hAnsi="宋体" w:eastAsia="宋体" w:cs="宋体"/>
          <w:bCs/>
          <w:color w:val="auto"/>
          <w:kern w:val="2"/>
          <w:sz w:val="21"/>
          <w:szCs w:val="21"/>
          <w:highlight w:val="none"/>
          <w:lang w:bidi="ar"/>
        </w:rPr>
        <w:t>指报告期内在高新区市场监管部门新增登记注册的由境外投资者开办的，登记注册类型为外商投资或港澳台商投资的企业数。</w:t>
      </w:r>
    </w:p>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14:paraId="69038B66">
      <w:pPr>
        <w:pStyle w:val="33"/>
        <w:ind w:left="0" w:leftChars="0" w:firstLine="0" w:firstLineChars="0"/>
        <w:rPr>
          <w:rFonts w:hint="default"/>
          <w:color w:val="auto"/>
          <w:highlight w:val="none"/>
        </w:rPr>
      </w:pPr>
    </w:p>
    <w:sectPr>
      <w:headerReference r:id="rId3" w:type="default"/>
      <w:footerReference r:id="rId4" w:type="default"/>
      <w:pgSz w:w="11906" w:h="16838"/>
      <w:pgMar w:top="1417" w:right="1247" w:bottom="1247" w:left="1247" w:header="851" w:footer="73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roman"/>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96545">
    <w:pPr>
      <w:pStyle w:val="18"/>
      <w:jc w:val="center"/>
      <w:rPr>
        <w:rFonts w:hint="eastAsia"/>
        <w:sz w:val="21"/>
        <w:szCs w:val="21"/>
        <w:lang w:eastAsia="zh-CN"/>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91</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EEDB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pStyle w:val="148"/>
      <w:lvlText w:val="%1."/>
      <w:lvlJc w:val="left"/>
      <w:pPr>
        <w:tabs>
          <w:tab w:val="left" w:pos="1020"/>
        </w:tabs>
        <w:ind w:left="1020" w:hanging="330"/>
      </w:pPr>
      <w:rPr>
        <w:rFonts w:hint="eastAsia"/>
      </w:rPr>
    </w:lvl>
  </w:abstractNum>
  <w:abstractNum w:abstractNumId="1">
    <w:nsid w:val="7F7D3086"/>
    <w:multiLevelType w:val="singleLevel"/>
    <w:tmpl w:val="7F7D3086"/>
    <w:lvl w:ilvl="0" w:tentative="0">
      <w:start w:val="1"/>
      <w:numFmt w:val="chineseCounting"/>
      <w:pStyle w:val="112"/>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ZmZmRjMTQyZDU0MzUzYTk2N2I5NTU5NDRjNTAifQ=="/>
  </w:docVars>
  <w:rsids>
    <w:rsidRoot w:val="00735758"/>
    <w:rsid w:val="00000442"/>
    <w:rsid w:val="00000FAD"/>
    <w:rsid w:val="00001E2A"/>
    <w:rsid w:val="00005169"/>
    <w:rsid w:val="000073B9"/>
    <w:rsid w:val="0001112D"/>
    <w:rsid w:val="000113E3"/>
    <w:rsid w:val="000206FA"/>
    <w:rsid w:val="000242C8"/>
    <w:rsid w:val="00025E6C"/>
    <w:rsid w:val="00026A27"/>
    <w:rsid w:val="00032123"/>
    <w:rsid w:val="00047712"/>
    <w:rsid w:val="00047FAB"/>
    <w:rsid w:val="000518A3"/>
    <w:rsid w:val="000520BB"/>
    <w:rsid w:val="00054B9E"/>
    <w:rsid w:val="000567AF"/>
    <w:rsid w:val="00057EEC"/>
    <w:rsid w:val="00060643"/>
    <w:rsid w:val="000609DF"/>
    <w:rsid w:val="0006111A"/>
    <w:rsid w:val="000611A0"/>
    <w:rsid w:val="00070A13"/>
    <w:rsid w:val="00071697"/>
    <w:rsid w:val="00071E0E"/>
    <w:rsid w:val="0007469F"/>
    <w:rsid w:val="000749A7"/>
    <w:rsid w:val="000763BF"/>
    <w:rsid w:val="000765CE"/>
    <w:rsid w:val="000779F6"/>
    <w:rsid w:val="00077CF1"/>
    <w:rsid w:val="00084CF2"/>
    <w:rsid w:val="00085317"/>
    <w:rsid w:val="00085C62"/>
    <w:rsid w:val="00085F48"/>
    <w:rsid w:val="000873CD"/>
    <w:rsid w:val="000903F9"/>
    <w:rsid w:val="000930BE"/>
    <w:rsid w:val="00097261"/>
    <w:rsid w:val="000A04CB"/>
    <w:rsid w:val="000A5737"/>
    <w:rsid w:val="000A5EC6"/>
    <w:rsid w:val="000A6564"/>
    <w:rsid w:val="000B23CD"/>
    <w:rsid w:val="000B4A10"/>
    <w:rsid w:val="000B694B"/>
    <w:rsid w:val="000C2C45"/>
    <w:rsid w:val="000C392B"/>
    <w:rsid w:val="000C52DE"/>
    <w:rsid w:val="000C55F8"/>
    <w:rsid w:val="000C7378"/>
    <w:rsid w:val="000E1363"/>
    <w:rsid w:val="000E243D"/>
    <w:rsid w:val="000E5300"/>
    <w:rsid w:val="000E6F0B"/>
    <w:rsid w:val="000F21C5"/>
    <w:rsid w:val="000F325C"/>
    <w:rsid w:val="000F4E4F"/>
    <w:rsid w:val="000F55A3"/>
    <w:rsid w:val="000F7269"/>
    <w:rsid w:val="00101A88"/>
    <w:rsid w:val="00103A0E"/>
    <w:rsid w:val="00103F99"/>
    <w:rsid w:val="001050C0"/>
    <w:rsid w:val="00105253"/>
    <w:rsid w:val="00105DE8"/>
    <w:rsid w:val="001064E7"/>
    <w:rsid w:val="0010703F"/>
    <w:rsid w:val="0011007D"/>
    <w:rsid w:val="00110215"/>
    <w:rsid w:val="00110602"/>
    <w:rsid w:val="00113290"/>
    <w:rsid w:val="00116518"/>
    <w:rsid w:val="00116C72"/>
    <w:rsid w:val="00122BCE"/>
    <w:rsid w:val="00124DF8"/>
    <w:rsid w:val="00125881"/>
    <w:rsid w:val="00126531"/>
    <w:rsid w:val="00130BDB"/>
    <w:rsid w:val="00131AF1"/>
    <w:rsid w:val="00133688"/>
    <w:rsid w:val="00135E6B"/>
    <w:rsid w:val="0013777D"/>
    <w:rsid w:val="0014058A"/>
    <w:rsid w:val="00144BEF"/>
    <w:rsid w:val="00145111"/>
    <w:rsid w:val="0014584C"/>
    <w:rsid w:val="00145A9B"/>
    <w:rsid w:val="00146065"/>
    <w:rsid w:val="00152702"/>
    <w:rsid w:val="001568F7"/>
    <w:rsid w:val="00157A73"/>
    <w:rsid w:val="001642CA"/>
    <w:rsid w:val="00166B3D"/>
    <w:rsid w:val="00166EE6"/>
    <w:rsid w:val="00167294"/>
    <w:rsid w:val="00175237"/>
    <w:rsid w:val="00183CEE"/>
    <w:rsid w:val="00185368"/>
    <w:rsid w:val="00191B15"/>
    <w:rsid w:val="001935C3"/>
    <w:rsid w:val="00196A30"/>
    <w:rsid w:val="001A07E2"/>
    <w:rsid w:val="001A1C7F"/>
    <w:rsid w:val="001A3CEB"/>
    <w:rsid w:val="001A3F43"/>
    <w:rsid w:val="001A407C"/>
    <w:rsid w:val="001A5FDD"/>
    <w:rsid w:val="001A7B64"/>
    <w:rsid w:val="001B3829"/>
    <w:rsid w:val="001B4362"/>
    <w:rsid w:val="001C0B4C"/>
    <w:rsid w:val="001C6930"/>
    <w:rsid w:val="001C6BE3"/>
    <w:rsid w:val="001D3088"/>
    <w:rsid w:val="001D3A39"/>
    <w:rsid w:val="001D401F"/>
    <w:rsid w:val="001D6335"/>
    <w:rsid w:val="001D75B6"/>
    <w:rsid w:val="001E2BB4"/>
    <w:rsid w:val="001E79A2"/>
    <w:rsid w:val="001F1746"/>
    <w:rsid w:val="002166A6"/>
    <w:rsid w:val="002176AA"/>
    <w:rsid w:val="002279C4"/>
    <w:rsid w:val="00235F8C"/>
    <w:rsid w:val="00240A01"/>
    <w:rsid w:val="00240F0C"/>
    <w:rsid w:val="00242663"/>
    <w:rsid w:val="00242864"/>
    <w:rsid w:val="00247E66"/>
    <w:rsid w:val="00250572"/>
    <w:rsid w:val="00250602"/>
    <w:rsid w:val="00250AE4"/>
    <w:rsid w:val="00250C60"/>
    <w:rsid w:val="00250FD8"/>
    <w:rsid w:val="002521B0"/>
    <w:rsid w:val="002549CF"/>
    <w:rsid w:val="0025641F"/>
    <w:rsid w:val="00260CD7"/>
    <w:rsid w:val="00261B39"/>
    <w:rsid w:val="00264CBB"/>
    <w:rsid w:val="00265326"/>
    <w:rsid w:val="002706EA"/>
    <w:rsid w:val="002775EC"/>
    <w:rsid w:val="00280117"/>
    <w:rsid w:val="00280325"/>
    <w:rsid w:val="00282069"/>
    <w:rsid w:val="00283221"/>
    <w:rsid w:val="00290A5C"/>
    <w:rsid w:val="00293F30"/>
    <w:rsid w:val="002942BA"/>
    <w:rsid w:val="00295077"/>
    <w:rsid w:val="00296C01"/>
    <w:rsid w:val="002A0874"/>
    <w:rsid w:val="002B1C52"/>
    <w:rsid w:val="002B22B3"/>
    <w:rsid w:val="002B4EB4"/>
    <w:rsid w:val="002C1614"/>
    <w:rsid w:val="002C186A"/>
    <w:rsid w:val="002C2421"/>
    <w:rsid w:val="002C4470"/>
    <w:rsid w:val="002C7F8D"/>
    <w:rsid w:val="002D0AA4"/>
    <w:rsid w:val="002D29ED"/>
    <w:rsid w:val="002D3230"/>
    <w:rsid w:val="002D5F02"/>
    <w:rsid w:val="002D7311"/>
    <w:rsid w:val="002D74BC"/>
    <w:rsid w:val="002D74EB"/>
    <w:rsid w:val="002E0D84"/>
    <w:rsid w:val="002E162C"/>
    <w:rsid w:val="002E2642"/>
    <w:rsid w:val="002E571D"/>
    <w:rsid w:val="002F0CF1"/>
    <w:rsid w:val="00315FD3"/>
    <w:rsid w:val="00320A72"/>
    <w:rsid w:val="0032262E"/>
    <w:rsid w:val="00322D6C"/>
    <w:rsid w:val="00330B53"/>
    <w:rsid w:val="00333D4A"/>
    <w:rsid w:val="00335234"/>
    <w:rsid w:val="00343516"/>
    <w:rsid w:val="00344E37"/>
    <w:rsid w:val="0034684C"/>
    <w:rsid w:val="0034794B"/>
    <w:rsid w:val="003503A0"/>
    <w:rsid w:val="0035060B"/>
    <w:rsid w:val="00350BC6"/>
    <w:rsid w:val="003542E2"/>
    <w:rsid w:val="00364C85"/>
    <w:rsid w:val="00376A01"/>
    <w:rsid w:val="00380A62"/>
    <w:rsid w:val="0038131E"/>
    <w:rsid w:val="00382D56"/>
    <w:rsid w:val="003839B0"/>
    <w:rsid w:val="00385C97"/>
    <w:rsid w:val="00387FBD"/>
    <w:rsid w:val="003939A6"/>
    <w:rsid w:val="003A33F2"/>
    <w:rsid w:val="003A7C35"/>
    <w:rsid w:val="003B0E95"/>
    <w:rsid w:val="003B12B2"/>
    <w:rsid w:val="003B39BE"/>
    <w:rsid w:val="003B3DCA"/>
    <w:rsid w:val="003C50B2"/>
    <w:rsid w:val="003C5E91"/>
    <w:rsid w:val="003C60B8"/>
    <w:rsid w:val="003D0CB3"/>
    <w:rsid w:val="003D2E62"/>
    <w:rsid w:val="003E0331"/>
    <w:rsid w:val="003E538E"/>
    <w:rsid w:val="003E6774"/>
    <w:rsid w:val="003E789F"/>
    <w:rsid w:val="003F6DF4"/>
    <w:rsid w:val="003F71B4"/>
    <w:rsid w:val="003F7205"/>
    <w:rsid w:val="00400685"/>
    <w:rsid w:val="004031AF"/>
    <w:rsid w:val="00403E20"/>
    <w:rsid w:val="00406C48"/>
    <w:rsid w:val="0040775B"/>
    <w:rsid w:val="00410B8C"/>
    <w:rsid w:val="0041201B"/>
    <w:rsid w:val="00412CF0"/>
    <w:rsid w:val="00413DCD"/>
    <w:rsid w:val="0041563F"/>
    <w:rsid w:val="00417D41"/>
    <w:rsid w:val="004201ED"/>
    <w:rsid w:val="004210BE"/>
    <w:rsid w:val="00422C91"/>
    <w:rsid w:val="004251A0"/>
    <w:rsid w:val="00427ED5"/>
    <w:rsid w:val="00430680"/>
    <w:rsid w:val="00430D9B"/>
    <w:rsid w:val="00434EB9"/>
    <w:rsid w:val="00435871"/>
    <w:rsid w:val="00436C56"/>
    <w:rsid w:val="004371BB"/>
    <w:rsid w:val="00441F16"/>
    <w:rsid w:val="00444230"/>
    <w:rsid w:val="00444D07"/>
    <w:rsid w:val="00446B1A"/>
    <w:rsid w:val="004514C9"/>
    <w:rsid w:val="00451C38"/>
    <w:rsid w:val="00453175"/>
    <w:rsid w:val="00454552"/>
    <w:rsid w:val="004571A9"/>
    <w:rsid w:val="004607B9"/>
    <w:rsid w:val="00460DE1"/>
    <w:rsid w:val="00461468"/>
    <w:rsid w:val="004659F7"/>
    <w:rsid w:val="00466029"/>
    <w:rsid w:val="004714DA"/>
    <w:rsid w:val="00471ADB"/>
    <w:rsid w:val="00471B84"/>
    <w:rsid w:val="00471CEF"/>
    <w:rsid w:val="0047239D"/>
    <w:rsid w:val="004726F7"/>
    <w:rsid w:val="004764AD"/>
    <w:rsid w:val="00477B5A"/>
    <w:rsid w:val="00480C2C"/>
    <w:rsid w:val="00481DA7"/>
    <w:rsid w:val="00483CEA"/>
    <w:rsid w:val="00484186"/>
    <w:rsid w:val="00487989"/>
    <w:rsid w:val="00490AE8"/>
    <w:rsid w:val="00491106"/>
    <w:rsid w:val="004972B2"/>
    <w:rsid w:val="004A1020"/>
    <w:rsid w:val="004A1C22"/>
    <w:rsid w:val="004A28BA"/>
    <w:rsid w:val="004A3F94"/>
    <w:rsid w:val="004A6BED"/>
    <w:rsid w:val="004B6890"/>
    <w:rsid w:val="004B78C7"/>
    <w:rsid w:val="004C0FEE"/>
    <w:rsid w:val="004C298B"/>
    <w:rsid w:val="004C4AAE"/>
    <w:rsid w:val="004C4DA7"/>
    <w:rsid w:val="004D1D2E"/>
    <w:rsid w:val="004D3ACB"/>
    <w:rsid w:val="004F0EDB"/>
    <w:rsid w:val="004F6368"/>
    <w:rsid w:val="00500D49"/>
    <w:rsid w:val="00510639"/>
    <w:rsid w:val="00514DCA"/>
    <w:rsid w:val="005156FF"/>
    <w:rsid w:val="005179F2"/>
    <w:rsid w:val="00517B1F"/>
    <w:rsid w:val="00520B3D"/>
    <w:rsid w:val="00520DDC"/>
    <w:rsid w:val="00521E30"/>
    <w:rsid w:val="005358EC"/>
    <w:rsid w:val="00537F9B"/>
    <w:rsid w:val="00540176"/>
    <w:rsid w:val="00540905"/>
    <w:rsid w:val="00544A4D"/>
    <w:rsid w:val="00552A2A"/>
    <w:rsid w:val="005541AD"/>
    <w:rsid w:val="00556593"/>
    <w:rsid w:val="0056750D"/>
    <w:rsid w:val="005710E9"/>
    <w:rsid w:val="00572FDB"/>
    <w:rsid w:val="00573A87"/>
    <w:rsid w:val="00573F01"/>
    <w:rsid w:val="00580CD2"/>
    <w:rsid w:val="00581B76"/>
    <w:rsid w:val="005916F1"/>
    <w:rsid w:val="00592DD2"/>
    <w:rsid w:val="00593146"/>
    <w:rsid w:val="0059325E"/>
    <w:rsid w:val="005A2394"/>
    <w:rsid w:val="005A346A"/>
    <w:rsid w:val="005A7914"/>
    <w:rsid w:val="005C0C9F"/>
    <w:rsid w:val="005C1802"/>
    <w:rsid w:val="005C305A"/>
    <w:rsid w:val="005C33BC"/>
    <w:rsid w:val="005C4CFC"/>
    <w:rsid w:val="005C5296"/>
    <w:rsid w:val="005D2924"/>
    <w:rsid w:val="005D3743"/>
    <w:rsid w:val="005D49C7"/>
    <w:rsid w:val="005E5443"/>
    <w:rsid w:val="005E7D6D"/>
    <w:rsid w:val="005F029D"/>
    <w:rsid w:val="005F031B"/>
    <w:rsid w:val="005F1217"/>
    <w:rsid w:val="005F2FF1"/>
    <w:rsid w:val="005F5F59"/>
    <w:rsid w:val="005F5F87"/>
    <w:rsid w:val="005F7CA7"/>
    <w:rsid w:val="006014D0"/>
    <w:rsid w:val="00601D71"/>
    <w:rsid w:val="00601FC2"/>
    <w:rsid w:val="00604215"/>
    <w:rsid w:val="006061E1"/>
    <w:rsid w:val="006062C7"/>
    <w:rsid w:val="00606AEF"/>
    <w:rsid w:val="00607F8E"/>
    <w:rsid w:val="006126F1"/>
    <w:rsid w:val="00614431"/>
    <w:rsid w:val="00615E6D"/>
    <w:rsid w:val="00623808"/>
    <w:rsid w:val="0062767A"/>
    <w:rsid w:val="00630BF4"/>
    <w:rsid w:val="006320C6"/>
    <w:rsid w:val="00635113"/>
    <w:rsid w:val="00644EA8"/>
    <w:rsid w:val="00650484"/>
    <w:rsid w:val="00651729"/>
    <w:rsid w:val="00657D57"/>
    <w:rsid w:val="00661C1C"/>
    <w:rsid w:val="006625E8"/>
    <w:rsid w:val="00664393"/>
    <w:rsid w:val="006652B9"/>
    <w:rsid w:val="00672E3B"/>
    <w:rsid w:val="00673012"/>
    <w:rsid w:val="00674984"/>
    <w:rsid w:val="00674E93"/>
    <w:rsid w:val="006761BA"/>
    <w:rsid w:val="00682B21"/>
    <w:rsid w:val="006840F9"/>
    <w:rsid w:val="00686385"/>
    <w:rsid w:val="006936D4"/>
    <w:rsid w:val="00693F5A"/>
    <w:rsid w:val="00694B05"/>
    <w:rsid w:val="00697221"/>
    <w:rsid w:val="006A347B"/>
    <w:rsid w:val="006A4776"/>
    <w:rsid w:val="006A5119"/>
    <w:rsid w:val="006A7DB6"/>
    <w:rsid w:val="006B3545"/>
    <w:rsid w:val="006B4CE5"/>
    <w:rsid w:val="006B5C43"/>
    <w:rsid w:val="006C04B8"/>
    <w:rsid w:val="006C2DB5"/>
    <w:rsid w:val="006C4950"/>
    <w:rsid w:val="006D5B49"/>
    <w:rsid w:val="006E179B"/>
    <w:rsid w:val="006E3312"/>
    <w:rsid w:val="006E44D2"/>
    <w:rsid w:val="006E5DB6"/>
    <w:rsid w:val="006F7C67"/>
    <w:rsid w:val="00700C10"/>
    <w:rsid w:val="00700E2E"/>
    <w:rsid w:val="00702F09"/>
    <w:rsid w:val="0070307F"/>
    <w:rsid w:val="00705F79"/>
    <w:rsid w:val="007115BE"/>
    <w:rsid w:val="00712982"/>
    <w:rsid w:val="007133D4"/>
    <w:rsid w:val="0071598C"/>
    <w:rsid w:val="00717CC6"/>
    <w:rsid w:val="00720850"/>
    <w:rsid w:val="00723E8C"/>
    <w:rsid w:val="007270CA"/>
    <w:rsid w:val="00731302"/>
    <w:rsid w:val="00735758"/>
    <w:rsid w:val="00741398"/>
    <w:rsid w:val="00746443"/>
    <w:rsid w:val="00747EB2"/>
    <w:rsid w:val="0075182D"/>
    <w:rsid w:val="007542D4"/>
    <w:rsid w:val="00755154"/>
    <w:rsid w:val="0076069F"/>
    <w:rsid w:val="00763C6F"/>
    <w:rsid w:val="00764831"/>
    <w:rsid w:val="00765DD4"/>
    <w:rsid w:val="00765ED3"/>
    <w:rsid w:val="0076659D"/>
    <w:rsid w:val="00771E63"/>
    <w:rsid w:val="00773E6A"/>
    <w:rsid w:val="00774F3A"/>
    <w:rsid w:val="00775446"/>
    <w:rsid w:val="0079452C"/>
    <w:rsid w:val="007956B1"/>
    <w:rsid w:val="00795CFE"/>
    <w:rsid w:val="007A0DFD"/>
    <w:rsid w:val="007A1353"/>
    <w:rsid w:val="007A2289"/>
    <w:rsid w:val="007A4031"/>
    <w:rsid w:val="007A4DBD"/>
    <w:rsid w:val="007A57FF"/>
    <w:rsid w:val="007B1FAC"/>
    <w:rsid w:val="007B33B5"/>
    <w:rsid w:val="007B4BA9"/>
    <w:rsid w:val="007B5107"/>
    <w:rsid w:val="007C1D13"/>
    <w:rsid w:val="007C44D3"/>
    <w:rsid w:val="007C7A26"/>
    <w:rsid w:val="007D002B"/>
    <w:rsid w:val="007D4ABA"/>
    <w:rsid w:val="007D609C"/>
    <w:rsid w:val="007D7715"/>
    <w:rsid w:val="007E068E"/>
    <w:rsid w:val="007F01E7"/>
    <w:rsid w:val="007F078A"/>
    <w:rsid w:val="007F0B54"/>
    <w:rsid w:val="007F5B1A"/>
    <w:rsid w:val="007F6915"/>
    <w:rsid w:val="007F7BDB"/>
    <w:rsid w:val="00802DFD"/>
    <w:rsid w:val="0080489E"/>
    <w:rsid w:val="00804D8C"/>
    <w:rsid w:val="00807F7F"/>
    <w:rsid w:val="00810D20"/>
    <w:rsid w:val="00814E9E"/>
    <w:rsid w:val="00824F5F"/>
    <w:rsid w:val="0082577A"/>
    <w:rsid w:val="00825ECF"/>
    <w:rsid w:val="00830B67"/>
    <w:rsid w:val="00831F4D"/>
    <w:rsid w:val="008345E3"/>
    <w:rsid w:val="008360FD"/>
    <w:rsid w:val="00836A2B"/>
    <w:rsid w:val="00844BE4"/>
    <w:rsid w:val="00845C84"/>
    <w:rsid w:val="00851077"/>
    <w:rsid w:val="00852BAD"/>
    <w:rsid w:val="00853A10"/>
    <w:rsid w:val="008612FB"/>
    <w:rsid w:val="00864CF9"/>
    <w:rsid w:val="00866411"/>
    <w:rsid w:val="00875624"/>
    <w:rsid w:val="00876065"/>
    <w:rsid w:val="00880911"/>
    <w:rsid w:val="008877CB"/>
    <w:rsid w:val="008916EF"/>
    <w:rsid w:val="00891723"/>
    <w:rsid w:val="00891765"/>
    <w:rsid w:val="008924FB"/>
    <w:rsid w:val="00896353"/>
    <w:rsid w:val="00896359"/>
    <w:rsid w:val="00896644"/>
    <w:rsid w:val="008A165E"/>
    <w:rsid w:val="008A6893"/>
    <w:rsid w:val="008A6907"/>
    <w:rsid w:val="008B0B86"/>
    <w:rsid w:val="008B14F7"/>
    <w:rsid w:val="008B7150"/>
    <w:rsid w:val="008C65C2"/>
    <w:rsid w:val="008D57C5"/>
    <w:rsid w:val="008D7F54"/>
    <w:rsid w:val="008E1C60"/>
    <w:rsid w:val="008E2772"/>
    <w:rsid w:val="008E44DE"/>
    <w:rsid w:val="008F06CD"/>
    <w:rsid w:val="008F1C11"/>
    <w:rsid w:val="008F2631"/>
    <w:rsid w:val="008F34C4"/>
    <w:rsid w:val="008F3868"/>
    <w:rsid w:val="009015D4"/>
    <w:rsid w:val="00902537"/>
    <w:rsid w:val="009202C0"/>
    <w:rsid w:val="00923BDC"/>
    <w:rsid w:val="00926F66"/>
    <w:rsid w:val="0093179F"/>
    <w:rsid w:val="009318AA"/>
    <w:rsid w:val="009324D4"/>
    <w:rsid w:val="00932F87"/>
    <w:rsid w:val="00935B4A"/>
    <w:rsid w:val="00944447"/>
    <w:rsid w:val="009465BA"/>
    <w:rsid w:val="00955633"/>
    <w:rsid w:val="00962375"/>
    <w:rsid w:val="00962750"/>
    <w:rsid w:val="00963111"/>
    <w:rsid w:val="00963A19"/>
    <w:rsid w:val="00965719"/>
    <w:rsid w:val="00967B9E"/>
    <w:rsid w:val="00972EF7"/>
    <w:rsid w:val="00973AD1"/>
    <w:rsid w:val="009809BC"/>
    <w:rsid w:val="00984B52"/>
    <w:rsid w:val="00985243"/>
    <w:rsid w:val="00985404"/>
    <w:rsid w:val="0098690E"/>
    <w:rsid w:val="00994DCF"/>
    <w:rsid w:val="00995C5C"/>
    <w:rsid w:val="00996D6B"/>
    <w:rsid w:val="00997E05"/>
    <w:rsid w:val="009A06EC"/>
    <w:rsid w:val="009A0AF6"/>
    <w:rsid w:val="009A2075"/>
    <w:rsid w:val="009A330F"/>
    <w:rsid w:val="009A3BE0"/>
    <w:rsid w:val="009A749F"/>
    <w:rsid w:val="009B2957"/>
    <w:rsid w:val="009B369B"/>
    <w:rsid w:val="009B5515"/>
    <w:rsid w:val="009B757E"/>
    <w:rsid w:val="009C2EFD"/>
    <w:rsid w:val="009C4DD4"/>
    <w:rsid w:val="009C6544"/>
    <w:rsid w:val="009D3290"/>
    <w:rsid w:val="009D539C"/>
    <w:rsid w:val="009E1ED0"/>
    <w:rsid w:val="009E2717"/>
    <w:rsid w:val="009E2DD8"/>
    <w:rsid w:val="009E2F4D"/>
    <w:rsid w:val="009E3B17"/>
    <w:rsid w:val="009E4DD6"/>
    <w:rsid w:val="009E7B55"/>
    <w:rsid w:val="009E7D09"/>
    <w:rsid w:val="009F0BBC"/>
    <w:rsid w:val="009F2694"/>
    <w:rsid w:val="009F6123"/>
    <w:rsid w:val="00A00231"/>
    <w:rsid w:val="00A053D3"/>
    <w:rsid w:val="00A05722"/>
    <w:rsid w:val="00A05895"/>
    <w:rsid w:val="00A10744"/>
    <w:rsid w:val="00A1187A"/>
    <w:rsid w:val="00A11FC6"/>
    <w:rsid w:val="00A143D3"/>
    <w:rsid w:val="00A1653D"/>
    <w:rsid w:val="00A250ED"/>
    <w:rsid w:val="00A277B4"/>
    <w:rsid w:val="00A306D4"/>
    <w:rsid w:val="00A42DF8"/>
    <w:rsid w:val="00A4384A"/>
    <w:rsid w:val="00A448D5"/>
    <w:rsid w:val="00A46589"/>
    <w:rsid w:val="00A475FB"/>
    <w:rsid w:val="00A52098"/>
    <w:rsid w:val="00A52BEA"/>
    <w:rsid w:val="00A53277"/>
    <w:rsid w:val="00A56AB7"/>
    <w:rsid w:val="00A64308"/>
    <w:rsid w:val="00A64B63"/>
    <w:rsid w:val="00A65370"/>
    <w:rsid w:val="00A679CB"/>
    <w:rsid w:val="00A73251"/>
    <w:rsid w:val="00A769C6"/>
    <w:rsid w:val="00A802E4"/>
    <w:rsid w:val="00A80AB7"/>
    <w:rsid w:val="00A8241D"/>
    <w:rsid w:val="00A863D4"/>
    <w:rsid w:val="00A875A2"/>
    <w:rsid w:val="00A91270"/>
    <w:rsid w:val="00A96A0F"/>
    <w:rsid w:val="00A96D81"/>
    <w:rsid w:val="00A96DE6"/>
    <w:rsid w:val="00AA4300"/>
    <w:rsid w:val="00AA52BA"/>
    <w:rsid w:val="00AB01F6"/>
    <w:rsid w:val="00AB21DB"/>
    <w:rsid w:val="00AB5141"/>
    <w:rsid w:val="00AB7A64"/>
    <w:rsid w:val="00AC337B"/>
    <w:rsid w:val="00AC61F5"/>
    <w:rsid w:val="00AC64E8"/>
    <w:rsid w:val="00AC6A78"/>
    <w:rsid w:val="00AC7441"/>
    <w:rsid w:val="00AC79B2"/>
    <w:rsid w:val="00AD4AD0"/>
    <w:rsid w:val="00AD4F61"/>
    <w:rsid w:val="00AD7384"/>
    <w:rsid w:val="00AE205D"/>
    <w:rsid w:val="00AE3F12"/>
    <w:rsid w:val="00AE4305"/>
    <w:rsid w:val="00AF4DDC"/>
    <w:rsid w:val="00AF62C7"/>
    <w:rsid w:val="00AF7AE2"/>
    <w:rsid w:val="00B03799"/>
    <w:rsid w:val="00B043C0"/>
    <w:rsid w:val="00B14889"/>
    <w:rsid w:val="00B248FA"/>
    <w:rsid w:val="00B27C08"/>
    <w:rsid w:val="00B27D25"/>
    <w:rsid w:val="00B32CA0"/>
    <w:rsid w:val="00B349F8"/>
    <w:rsid w:val="00B4182E"/>
    <w:rsid w:val="00B5560C"/>
    <w:rsid w:val="00B56655"/>
    <w:rsid w:val="00B5667A"/>
    <w:rsid w:val="00B602F6"/>
    <w:rsid w:val="00B70E76"/>
    <w:rsid w:val="00B71509"/>
    <w:rsid w:val="00B715F1"/>
    <w:rsid w:val="00B7315D"/>
    <w:rsid w:val="00B8107F"/>
    <w:rsid w:val="00B82503"/>
    <w:rsid w:val="00B83E5A"/>
    <w:rsid w:val="00B85E3B"/>
    <w:rsid w:val="00B86E92"/>
    <w:rsid w:val="00B8797D"/>
    <w:rsid w:val="00B9232A"/>
    <w:rsid w:val="00B93483"/>
    <w:rsid w:val="00B95163"/>
    <w:rsid w:val="00B96C9E"/>
    <w:rsid w:val="00B96FE3"/>
    <w:rsid w:val="00BA4DC2"/>
    <w:rsid w:val="00BA5D22"/>
    <w:rsid w:val="00BB0196"/>
    <w:rsid w:val="00BB09E4"/>
    <w:rsid w:val="00BB5648"/>
    <w:rsid w:val="00BD03C8"/>
    <w:rsid w:val="00BD0562"/>
    <w:rsid w:val="00BD09C6"/>
    <w:rsid w:val="00BD102D"/>
    <w:rsid w:val="00BD21D1"/>
    <w:rsid w:val="00BD5441"/>
    <w:rsid w:val="00BD7EDC"/>
    <w:rsid w:val="00BE1053"/>
    <w:rsid w:val="00BE68C2"/>
    <w:rsid w:val="00BF0B10"/>
    <w:rsid w:val="00BF2D4B"/>
    <w:rsid w:val="00BF51AA"/>
    <w:rsid w:val="00C029E8"/>
    <w:rsid w:val="00C04C35"/>
    <w:rsid w:val="00C06672"/>
    <w:rsid w:val="00C124F3"/>
    <w:rsid w:val="00C131A9"/>
    <w:rsid w:val="00C13E75"/>
    <w:rsid w:val="00C20913"/>
    <w:rsid w:val="00C3168A"/>
    <w:rsid w:val="00C3305F"/>
    <w:rsid w:val="00C33CC5"/>
    <w:rsid w:val="00C33FB9"/>
    <w:rsid w:val="00C34D4A"/>
    <w:rsid w:val="00C3520E"/>
    <w:rsid w:val="00C37B93"/>
    <w:rsid w:val="00C4076A"/>
    <w:rsid w:val="00C41098"/>
    <w:rsid w:val="00C43DA0"/>
    <w:rsid w:val="00C443AD"/>
    <w:rsid w:val="00C50FCF"/>
    <w:rsid w:val="00C512D7"/>
    <w:rsid w:val="00C56567"/>
    <w:rsid w:val="00C571FB"/>
    <w:rsid w:val="00C637F6"/>
    <w:rsid w:val="00C638A8"/>
    <w:rsid w:val="00C64916"/>
    <w:rsid w:val="00C7060E"/>
    <w:rsid w:val="00C70FC9"/>
    <w:rsid w:val="00C71391"/>
    <w:rsid w:val="00C75EF4"/>
    <w:rsid w:val="00C823D3"/>
    <w:rsid w:val="00C8256C"/>
    <w:rsid w:val="00C83E65"/>
    <w:rsid w:val="00C90A36"/>
    <w:rsid w:val="00C9267C"/>
    <w:rsid w:val="00C93302"/>
    <w:rsid w:val="00C935D2"/>
    <w:rsid w:val="00C95814"/>
    <w:rsid w:val="00C95901"/>
    <w:rsid w:val="00C965F5"/>
    <w:rsid w:val="00C97CD2"/>
    <w:rsid w:val="00CA54F0"/>
    <w:rsid w:val="00CA5FD6"/>
    <w:rsid w:val="00CB7816"/>
    <w:rsid w:val="00CC6169"/>
    <w:rsid w:val="00CC77D3"/>
    <w:rsid w:val="00CD02EE"/>
    <w:rsid w:val="00CD12E0"/>
    <w:rsid w:val="00CD17EC"/>
    <w:rsid w:val="00CD297E"/>
    <w:rsid w:val="00CD2DCA"/>
    <w:rsid w:val="00CD38C2"/>
    <w:rsid w:val="00CE0ED8"/>
    <w:rsid w:val="00CE1CE6"/>
    <w:rsid w:val="00CF0DE7"/>
    <w:rsid w:val="00CF29AD"/>
    <w:rsid w:val="00CF7581"/>
    <w:rsid w:val="00CF7E26"/>
    <w:rsid w:val="00D02D0E"/>
    <w:rsid w:val="00D1080C"/>
    <w:rsid w:val="00D12AFB"/>
    <w:rsid w:val="00D2018E"/>
    <w:rsid w:val="00D21F87"/>
    <w:rsid w:val="00D2316C"/>
    <w:rsid w:val="00D231E1"/>
    <w:rsid w:val="00D2519A"/>
    <w:rsid w:val="00D2666C"/>
    <w:rsid w:val="00D26D94"/>
    <w:rsid w:val="00D34099"/>
    <w:rsid w:val="00D37C55"/>
    <w:rsid w:val="00D41B16"/>
    <w:rsid w:val="00D4768D"/>
    <w:rsid w:val="00D51C7E"/>
    <w:rsid w:val="00D53654"/>
    <w:rsid w:val="00D54437"/>
    <w:rsid w:val="00D54F0E"/>
    <w:rsid w:val="00D62F3E"/>
    <w:rsid w:val="00D646FB"/>
    <w:rsid w:val="00D6513E"/>
    <w:rsid w:val="00D657E3"/>
    <w:rsid w:val="00D65FE7"/>
    <w:rsid w:val="00D678E3"/>
    <w:rsid w:val="00D7151B"/>
    <w:rsid w:val="00D71E83"/>
    <w:rsid w:val="00D74A9E"/>
    <w:rsid w:val="00D7652C"/>
    <w:rsid w:val="00D802EB"/>
    <w:rsid w:val="00D81B1D"/>
    <w:rsid w:val="00D830D1"/>
    <w:rsid w:val="00D8386D"/>
    <w:rsid w:val="00D84810"/>
    <w:rsid w:val="00D86126"/>
    <w:rsid w:val="00D8696E"/>
    <w:rsid w:val="00D87768"/>
    <w:rsid w:val="00D91763"/>
    <w:rsid w:val="00D9631F"/>
    <w:rsid w:val="00DA463B"/>
    <w:rsid w:val="00DA6C0C"/>
    <w:rsid w:val="00DB0CAA"/>
    <w:rsid w:val="00DB156B"/>
    <w:rsid w:val="00DB188F"/>
    <w:rsid w:val="00DB1AA8"/>
    <w:rsid w:val="00DB52FF"/>
    <w:rsid w:val="00DB5E10"/>
    <w:rsid w:val="00DB7576"/>
    <w:rsid w:val="00DC01D2"/>
    <w:rsid w:val="00DC36A7"/>
    <w:rsid w:val="00DD29ED"/>
    <w:rsid w:val="00DD3DAE"/>
    <w:rsid w:val="00DD55D1"/>
    <w:rsid w:val="00DE0560"/>
    <w:rsid w:val="00DE1BFF"/>
    <w:rsid w:val="00DE2792"/>
    <w:rsid w:val="00DE29C6"/>
    <w:rsid w:val="00DE5DA1"/>
    <w:rsid w:val="00DE6853"/>
    <w:rsid w:val="00DF115F"/>
    <w:rsid w:val="00DF57B3"/>
    <w:rsid w:val="00E05656"/>
    <w:rsid w:val="00E07D58"/>
    <w:rsid w:val="00E141C0"/>
    <w:rsid w:val="00E14BB8"/>
    <w:rsid w:val="00E1624F"/>
    <w:rsid w:val="00E17FA1"/>
    <w:rsid w:val="00E2128F"/>
    <w:rsid w:val="00E22D4B"/>
    <w:rsid w:val="00E24CC1"/>
    <w:rsid w:val="00E25345"/>
    <w:rsid w:val="00E25B2F"/>
    <w:rsid w:val="00E263D9"/>
    <w:rsid w:val="00E27D8A"/>
    <w:rsid w:val="00E30E86"/>
    <w:rsid w:val="00E31A73"/>
    <w:rsid w:val="00E3284A"/>
    <w:rsid w:val="00E36C5E"/>
    <w:rsid w:val="00E41315"/>
    <w:rsid w:val="00E41BE3"/>
    <w:rsid w:val="00E420AB"/>
    <w:rsid w:val="00E47E63"/>
    <w:rsid w:val="00E64ED7"/>
    <w:rsid w:val="00E653B7"/>
    <w:rsid w:val="00E67660"/>
    <w:rsid w:val="00E7158A"/>
    <w:rsid w:val="00E8520B"/>
    <w:rsid w:val="00E85CCB"/>
    <w:rsid w:val="00E9069D"/>
    <w:rsid w:val="00E96504"/>
    <w:rsid w:val="00E975EF"/>
    <w:rsid w:val="00EA036F"/>
    <w:rsid w:val="00EA0AF0"/>
    <w:rsid w:val="00EA0F81"/>
    <w:rsid w:val="00EA6256"/>
    <w:rsid w:val="00EA6380"/>
    <w:rsid w:val="00EA6E9E"/>
    <w:rsid w:val="00EA7941"/>
    <w:rsid w:val="00EC10C5"/>
    <w:rsid w:val="00ED4793"/>
    <w:rsid w:val="00ED5A14"/>
    <w:rsid w:val="00ED7D35"/>
    <w:rsid w:val="00EE183B"/>
    <w:rsid w:val="00EE1EB7"/>
    <w:rsid w:val="00EE6093"/>
    <w:rsid w:val="00EE6320"/>
    <w:rsid w:val="00EF1463"/>
    <w:rsid w:val="00EF59F7"/>
    <w:rsid w:val="00EF69BD"/>
    <w:rsid w:val="00F0251D"/>
    <w:rsid w:val="00F03770"/>
    <w:rsid w:val="00F07E71"/>
    <w:rsid w:val="00F12AD0"/>
    <w:rsid w:val="00F14CDE"/>
    <w:rsid w:val="00F1556E"/>
    <w:rsid w:val="00F20E1A"/>
    <w:rsid w:val="00F218EA"/>
    <w:rsid w:val="00F25684"/>
    <w:rsid w:val="00F30C6C"/>
    <w:rsid w:val="00F30FC5"/>
    <w:rsid w:val="00F36797"/>
    <w:rsid w:val="00F37023"/>
    <w:rsid w:val="00F431F3"/>
    <w:rsid w:val="00F43223"/>
    <w:rsid w:val="00F438EE"/>
    <w:rsid w:val="00F43C2D"/>
    <w:rsid w:val="00F441DF"/>
    <w:rsid w:val="00F46284"/>
    <w:rsid w:val="00F52FDA"/>
    <w:rsid w:val="00F53B9F"/>
    <w:rsid w:val="00F53F59"/>
    <w:rsid w:val="00F555E7"/>
    <w:rsid w:val="00F62B72"/>
    <w:rsid w:val="00F64BDB"/>
    <w:rsid w:val="00F76CFE"/>
    <w:rsid w:val="00F77C61"/>
    <w:rsid w:val="00F80076"/>
    <w:rsid w:val="00F836FF"/>
    <w:rsid w:val="00F8611B"/>
    <w:rsid w:val="00F86833"/>
    <w:rsid w:val="00F94E35"/>
    <w:rsid w:val="00FA28AB"/>
    <w:rsid w:val="00FA465D"/>
    <w:rsid w:val="00FA6E3C"/>
    <w:rsid w:val="00FA7E5F"/>
    <w:rsid w:val="00FB37A6"/>
    <w:rsid w:val="00FB5B0E"/>
    <w:rsid w:val="00FB7735"/>
    <w:rsid w:val="00FC285D"/>
    <w:rsid w:val="00FC504F"/>
    <w:rsid w:val="00FC7C80"/>
    <w:rsid w:val="00FD01DB"/>
    <w:rsid w:val="00FD1554"/>
    <w:rsid w:val="00FD2AEA"/>
    <w:rsid w:val="00FD71C8"/>
    <w:rsid w:val="00FE0E06"/>
    <w:rsid w:val="00FE25A3"/>
    <w:rsid w:val="00FE3E93"/>
    <w:rsid w:val="00FE4694"/>
    <w:rsid w:val="00FE62A8"/>
    <w:rsid w:val="00FE7A36"/>
    <w:rsid w:val="00FF1E84"/>
    <w:rsid w:val="00FF2548"/>
    <w:rsid w:val="00FF2DE0"/>
    <w:rsid w:val="00FF3BE5"/>
    <w:rsid w:val="00FF4820"/>
    <w:rsid w:val="00FF4C95"/>
    <w:rsid w:val="00FF7350"/>
    <w:rsid w:val="014B16E2"/>
    <w:rsid w:val="015F51C9"/>
    <w:rsid w:val="01C710ED"/>
    <w:rsid w:val="01F82835"/>
    <w:rsid w:val="01FA091E"/>
    <w:rsid w:val="023370AE"/>
    <w:rsid w:val="027A321B"/>
    <w:rsid w:val="02884BAE"/>
    <w:rsid w:val="02F63C9D"/>
    <w:rsid w:val="03015719"/>
    <w:rsid w:val="03361A03"/>
    <w:rsid w:val="033D2829"/>
    <w:rsid w:val="034621EC"/>
    <w:rsid w:val="034F0B7A"/>
    <w:rsid w:val="03624168"/>
    <w:rsid w:val="03801D78"/>
    <w:rsid w:val="038B4F44"/>
    <w:rsid w:val="03983D79"/>
    <w:rsid w:val="03BD6575"/>
    <w:rsid w:val="0405748B"/>
    <w:rsid w:val="040B4BDB"/>
    <w:rsid w:val="04675F49"/>
    <w:rsid w:val="048031B8"/>
    <w:rsid w:val="04A74D9F"/>
    <w:rsid w:val="04D470FD"/>
    <w:rsid w:val="04DA1082"/>
    <w:rsid w:val="04EF17AF"/>
    <w:rsid w:val="04EF2134"/>
    <w:rsid w:val="050A24A7"/>
    <w:rsid w:val="051124F4"/>
    <w:rsid w:val="057A571F"/>
    <w:rsid w:val="0596006B"/>
    <w:rsid w:val="05B6372D"/>
    <w:rsid w:val="05D5400D"/>
    <w:rsid w:val="0607573C"/>
    <w:rsid w:val="060D19C1"/>
    <w:rsid w:val="062747FA"/>
    <w:rsid w:val="06625D0F"/>
    <w:rsid w:val="06907F35"/>
    <w:rsid w:val="070763D0"/>
    <w:rsid w:val="074011ED"/>
    <w:rsid w:val="07425F49"/>
    <w:rsid w:val="07693D76"/>
    <w:rsid w:val="07764F2E"/>
    <w:rsid w:val="077A7263"/>
    <w:rsid w:val="07835E66"/>
    <w:rsid w:val="07F345D4"/>
    <w:rsid w:val="0825260A"/>
    <w:rsid w:val="087053E7"/>
    <w:rsid w:val="08E96DAE"/>
    <w:rsid w:val="08EB2041"/>
    <w:rsid w:val="08EF2579"/>
    <w:rsid w:val="0906470F"/>
    <w:rsid w:val="093D1475"/>
    <w:rsid w:val="0956020A"/>
    <w:rsid w:val="09567175"/>
    <w:rsid w:val="09653560"/>
    <w:rsid w:val="098B118B"/>
    <w:rsid w:val="09A777B0"/>
    <w:rsid w:val="09BB5D90"/>
    <w:rsid w:val="09D03BB6"/>
    <w:rsid w:val="09DB4D10"/>
    <w:rsid w:val="0A04213F"/>
    <w:rsid w:val="0A696978"/>
    <w:rsid w:val="0A8F57B5"/>
    <w:rsid w:val="0AE3035D"/>
    <w:rsid w:val="0AE60C55"/>
    <w:rsid w:val="0B330247"/>
    <w:rsid w:val="0B3B3613"/>
    <w:rsid w:val="0B3F3B49"/>
    <w:rsid w:val="0B57681E"/>
    <w:rsid w:val="0B6D60B1"/>
    <w:rsid w:val="0BA023B3"/>
    <w:rsid w:val="0BC87E2D"/>
    <w:rsid w:val="0C1251BE"/>
    <w:rsid w:val="0C202FFF"/>
    <w:rsid w:val="0C5878C8"/>
    <w:rsid w:val="0C7E2939"/>
    <w:rsid w:val="0CBD063B"/>
    <w:rsid w:val="0CC41AD7"/>
    <w:rsid w:val="0CD80FB6"/>
    <w:rsid w:val="0D4E3869"/>
    <w:rsid w:val="0D6A6996"/>
    <w:rsid w:val="0D9B656A"/>
    <w:rsid w:val="0DCF2488"/>
    <w:rsid w:val="0DE61372"/>
    <w:rsid w:val="0DFF54C7"/>
    <w:rsid w:val="0E1C519B"/>
    <w:rsid w:val="0E3439C6"/>
    <w:rsid w:val="0E612A27"/>
    <w:rsid w:val="0E6A68B5"/>
    <w:rsid w:val="0E975E5C"/>
    <w:rsid w:val="0EAC6B76"/>
    <w:rsid w:val="0EB86848"/>
    <w:rsid w:val="0EC95506"/>
    <w:rsid w:val="0EF13627"/>
    <w:rsid w:val="0EF34AB0"/>
    <w:rsid w:val="0F1C5D4B"/>
    <w:rsid w:val="0F503CB0"/>
    <w:rsid w:val="0F7D25CB"/>
    <w:rsid w:val="0F9A2E10"/>
    <w:rsid w:val="0FE45F8C"/>
    <w:rsid w:val="10320A81"/>
    <w:rsid w:val="10364649"/>
    <w:rsid w:val="10505F32"/>
    <w:rsid w:val="106E4ED0"/>
    <w:rsid w:val="10AA0ABE"/>
    <w:rsid w:val="10CE463A"/>
    <w:rsid w:val="10CF312D"/>
    <w:rsid w:val="10DB11EC"/>
    <w:rsid w:val="10DE243C"/>
    <w:rsid w:val="10E213DB"/>
    <w:rsid w:val="10E24DDC"/>
    <w:rsid w:val="110A4333"/>
    <w:rsid w:val="111F57B0"/>
    <w:rsid w:val="118B13A1"/>
    <w:rsid w:val="11C91194"/>
    <w:rsid w:val="11DA7614"/>
    <w:rsid w:val="11E42DD6"/>
    <w:rsid w:val="11FE100A"/>
    <w:rsid w:val="12004109"/>
    <w:rsid w:val="12077D9D"/>
    <w:rsid w:val="120B02CB"/>
    <w:rsid w:val="12190EAE"/>
    <w:rsid w:val="12201EFD"/>
    <w:rsid w:val="12382409"/>
    <w:rsid w:val="126C4456"/>
    <w:rsid w:val="12937632"/>
    <w:rsid w:val="129D07D9"/>
    <w:rsid w:val="129F0512"/>
    <w:rsid w:val="12A97E93"/>
    <w:rsid w:val="12CB0F56"/>
    <w:rsid w:val="12D53FBB"/>
    <w:rsid w:val="12DB5F76"/>
    <w:rsid w:val="12EF2ADB"/>
    <w:rsid w:val="13303690"/>
    <w:rsid w:val="13546462"/>
    <w:rsid w:val="13971EA5"/>
    <w:rsid w:val="13996D25"/>
    <w:rsid w:val="139B7298"/>
    <w:rsid w:val="13C77E47"/>
    <w:rsid w:val="13E25485"/>
    <w:rsid w:val="146C663E"/>
    <w:rsid w:val="14B33E66"/>
    <w:rsid w:val="14CD7B51"/>
    <w:rsid w:val="14FA3792"/>
    <w:rsid w:val="150A3250"/>
    <w:rsid w:val="15212712"/>
    <w:rsid w:val="15261CD5"/>
    <w:rsid w:val="153C0833"/>
    <w:rsid w:val="15710FAD"/>
    <w:rsid w:val="158604EF"/>
    <w:rsid w:val="158C35B1"/>
    <w:rsid w:val="15F936FA"/>
    <w:rsid w:val="1605053E"/>
    <w:rsid w:val="1605220A"/>
    <w:rsid w:val="16275260"/>
    <w:rsid w:val="16A44B8D"/>
    <w:rsid w:val="170E0322"/>
    <w:rsid w:val="17684604"/>
    <w:rsid w:val="17917158"/>
    <w:rsid w:val="17B304B8"/>
    <w:rsid w:val="17C92852"/>
    <w:rsid w:val="17D05223"/>
    <w:rsid w:val="17DF02C7"/>
    <w:rsid w:val="17E42B0E"/>
    <w:rsid w:val="17E770A5"/>
    <w:rsid w:val="18063038"/>
    <w:rsid w:val="184451FD"/>
    <w:rsid w:val="18D40FFB"/>
    <w:rsid w:val="19260C43"/>
    <w:rsid w:val="195F507B"/>
    <w:rsid w:val="19DB1810"/>
    <w:rsid w:val="19E47AB4"/>
    <w:rsid w:val="19F6176C"/>
    <w:rsid w:val="1A5D13CD"/>
    <w:rsid w:val="1A630344"/>
    <w:rsid w:val="1A732877"/>
    <w:rsid w:val="1A7558AF"/>
    <w:rsid w:val="1A7A1A5B"/>
    <w:rsid w:val="1AAD540E"/>
    <w:rsid w:val="1B1014EA"/>
    <w:rsid w:val="1B8B0155"/>
    <w:rsid w:val="1BCC6440"/>
    <w:rsid w:val="1C1A225B"/>
    <w:rsid w:val="1C6F78C5"/>
    <w:rsid w:val="1C7F7040"/>
    <w:rsid w:val="1CA524A4"/>
    <w:rsid w:val="1CB35EDD"/>
    <w:rsid w:val="1D4E1256"/>
    <w:rsid w:val="1D666D95"/>
    <w:rsid w:val="1D90796E"/>
    <w:rsid w:val="1D9B4CB1"/>
    <w:rsid w:val="1DFD7EF6"/>
    <w:rsid w:val="1E0E2270"/>
    <w:rsid w:val="1E6E5EB7"/>
    <w:rsid w:val="1E7F2185"/>
    <w:rsid w:val="1E866F4B"/>
    <w:rsid w:val="1E9B3372"/>
    <w:rsid w:val="1EA77DE2"/>
    <w:rsid w:val="1EA94193"/>
    <w:rsid w:val="1F3B9487"/>
    <w:rsid w:val="1F47643E"/>
    <w:rsid w:val="1F4C1080"/>
    <w:rsid w:val="1F5E1B9F"/>
    <w:rsid w:val="1FDC0272"/>
    <w:rsid w:val="20085C1E"/>
    <w:rsid w:val="203020C7"/>
    <w:rsid w:val="20650FE2"/>
    <w:rsid w:val="20955058"/>
    <w:rsid w:val="20BB7250"/>
    <w:rsid w:val="20D174C7"/>
    <w:rsid w:val="210B3EDB"/>
    <w:rsid w:val="21AB0568"/>
    <w:rsid w:val="21AE10F7"/>
    <w:rsid w:val="21B13577"/>
    <w:rsid w:val="21BA1814"/>
    <w:rsid w:val="21D37685"/>
    <w:rsid w:val="21DC7625"/>
    <w:rsid w:val="22401503"/>
    <w:rsid w:val="2260480F"/>
    <w:rsid w:val="226B408F"/>
    <w:rsid w:val="226E2973"/>
    <w:rsid w:val="2277734E"/>
    <w:rsid w:val="228925D7"/>
    <w:rsid w:val="2290168C"/>
    <w:rsid w:val="229461B4"/>
    <w:rsid w:val="22FD1D7F"/>
    <w:rsid w:val="23160F0A"/>
    <w:rsid w:val="23343541"/>
    <w:rsid w:val="234F2B4E"/>
    <w:rsid w:val="2351552C"/>
    <w:rsid w:val="23671171"/>
    <w:rsid w:val="23764029"/>
    <w:rsid w:val="237C14F3"/>
    <w:rsid w:val="237E60EE"/>
    <w:rsid w:val="23B831B5"/>
    <w:rsid w:val="23C97F66"/>
    <w:rsid w:val="23DD7AAD"/>
    <w:rsid w:val="23E30D64"/>
    <w:rsid w:val="23E571B8"/>
    <w:rsid w:val="241F609F"/>
    <w:rsid w:val="24305A06"/>
    <w:rsid w:val="243C34B7"/>
    <w:rsid w:val="245602B3"/>
    <w:rsid w:val="24576491"/>
    <w:rsid w:val="248D45F8"/>
    <w:rsid w:val="24E472FB"/>
    <w:rsid w:val="24F932FA"/>
    <w:rsid w:val="251F4E9A"/>
    <w:rsid w:val="25252B94"/>
    <w:rsid w:val="25350FEA"/>
    <w:rsid w:val="25551249"/>
    <w:rsid w:val="255E2557"/>
    <w:rsid w:val="256571F6"/>
    <w:rsid w:val="2580614A"/>
    <w:rsid w:val="25BC3E3C"/>
    <w:rsid w:val="25C120E5"/>
    <w:rsid w:val="25DA35C6"/>
    <w:rsid w:val="25F3733F"/>
    <w:rsid w:val="260F1B7F"/>
    <w:rsid w:val="261F1F24"/>
    <w:rsid w:val="26285DA9"/>
    <w:rsid w:val="265B0083"/>
    <w:rsid w:val="266573A3"/>
    <w:rsid w:val="2680193C"/>
    <w:rsid w:val="26847C9C"/>
    <w:rsid w:val="26912884"/>
    <w:rsid w:val="26B74A03"/>
    <w:rsid w:val="26C37006"/>
    <w:rsid w:val="26C41AC7"/>
    <w:rsid w:val="273B00D3"/>
    <w:rsid w:val="276E46FA"/>
    <w:rsid w:val="279019FD"/>
    <w:rsid w:val="27E40C0B"/>
    <w:rsid w:val="27F84A8D"/>
    <w:rsid w:val="280261E6"/>
    <w:rsid w:val="280D2A75"/>
    <w:rsid w:val="281206CF"/>
    <w:rsid w:val="281E0DFE"/>
    <w:rsid w:val="281F698D"/>
    <w:rsid w:val="28A87D9E"/>
    <w:rsid w:val="28AC0259"/>
    <w:rsid w:val="28B96B98"/>
    <w:rsid w:val="28D6351B"/>
    <w:rsid w:val="29012919"/>
    <w:rsid w:val="2919547A"/>
    <w:rsid w:val="294A681B"/>
    <w:rsid w:val="297632FB"/>
    <w:rsid w:val="29860166"/>
    <w:rsid w:val="2989581D"/>
    <w:rsid w:val="29AE7242"/>
    <w:rsid w:val="29B1237D"/>
    <w:rsid w:val="29B623A9"/>
    <w:rsid w:val="29C177E7"/>
    <w:rsid w:val="29D55195"/>
    <w:rsid w:val="2A1C51C4"/>
    <w:rsid w:val="2A374E5F"/>
    <w:rsid w:val="2A3A2334"/>
    <w:rsid w:val="2A3E519C"/>
    <w:rsid w:val="2ADE4C88"/>
    <w:rsid w:val="2B0F281A"/>
    <w:rsid w:val="2B58669A"/>
    <w:rsid w:val="2BB36F8C"/>
    <w:rsid w:val="2BC60DD6"/>
    <w:rsid w:val="2BCF0DAE"/>
    <w:rsid w:val="2C5D58DE"/>
    <w:rsid w:val="2CBB53A9"/>
    <w:rsid w:val="2CCA35AC"/>
    <w:rsid w:val="2CCD0653"/>
    <w:rsid w:val="2CEB2024"/>
    <w:rsid w:val="2CFD01DC"/>
    <w:rsid w:val="2CFE1822"/>
    <w:rsid w:val="2D2A71C5"/>
    <w:rsid w:val="2D40645A"/>
    <w:rsid w:val="2D903660"/>
    <w:rsid w:val="2D9D2698"/>
    <w:rsid w:val="2D9F08E8"/>
    <w:rsid w:val="2DB137C0"/>
    <w:rsid w:val="2DC43DAA"/>
    <w:rsid w:val="2E083F52"/>
    <w:rsid w:val="2E4539F1"/>
    <w:rsid w:val="2E6172FD"/>
    <w:rsid w:val="2ECD39AB"/>
    <w:rsid w:val="2F2A2A00"/>
    <w:rsid w:val="2F324864"/>
    <w:rsid w:val="2FA363AF"/>
    <w:rsid w:val="2FD04A90"/>
    <w:rsid w:val="2FF464CB"/>
    <w:rsid w:val="2FFA0706"/>
    <w:rsid w:val="3006429E"/>
    <w:rsid w:val="30190941"/>
    <w:rsid w:val="30564C58"/>
    <w:rsid w:val="307E45AF"/>
    <w:rsid w:val="30B23CBB"/>
    <w:rsid w:val="30B95F03"/>
    <w:rsid w:val="30C123F4"/>
    <w:rsid w:val="30E252CB"/>
    <w:rsid w:val="311537F0"/>
    <w:rsid w:val="315E511F"/>
    <w:rsid w:val="31A411C1"/>
    <w:rsid w:val="31D72FDD"/>
    <w:rsid w:val="32345C56"/>
    <w:rsid w:val="32430FFB"/>
    <w:rsid w:val="32594A1C"/>
    <w:rsid w:val="325C01CA"/>
    <w:rsid w:val="32AA2C68"/>
    <w:rsid w:val="32BA74D7"/>
    <w:rsid w:val="32BF2D77"/>
    <w:rsid w:val="32C33444"/>
    <w:rsid w:val="32DE42B5"/>
    <w:rsid w:val="32E91C2E"/>
    <w:rsid w:val="32FA2ADC"/>
    <w:rsid w:val="3311742A"/>
    <w:rsid w:val="332B4928"/>
    <w:rsid w:val="333E2A3A"/>
    <w:rsid w:val="337A67C4"/>
    <w:rsid w:val="33952442"/>
    <w:rsid w:val="339E1946"/>
    <w:rsid w:val="33C365B1"/>
    <w:rsid w:val="34106D78"/>
    <w:rsid w:val="34264450"/>
    <w:rsid w:val="34BB7465"/>
    <w:rsid w:val="34BD33CA"/>
    <w:rsid w:val="34FA2DD0"/>
    <w:rsid w:val="34FA6512"/>
    <w:rsid w:val="35013D1A"/>
    <w:rsid w:val="353E6D69"/>
    <w:rsid w:val="35E3593F"/>
    <w:rsid w:val="3601233C"/>
    <w:rsid w:val="3631364D"/>
    <w:rsid w:val="365076A2"/>
    <w:rsid w:val="36766B00"/>
    <w:rsid w:val="3680281D"/>
    <w:rsid w:val="36FB77BF"/>
    <w:rsid w:val="37310A95"/>
    <w:rsid w:val="373C0A31"/>
    <w:rsid w:val="374D7CE6"/>
    <w:rsid w:val="37604F97"/>
    <w:rsid w:val="37E13551"/>
    <w:rsid w:val="37F13C67"/>
    <w:rsid w:val="38825EDD"/>
    <w:rsid w:val="388A5A75"/>
    <w:rsid w:val="389860C2"/>
    <w:rsid w:val="38CC22FD"/>
    <w:rsid w:val="391060DB"/>
    <w:rsid w:val="393D67A4"/>
    <w:rsid w:val="395103C4"/>
    <w:rsid w:val="39555F5D"/>
    <w:rsid w:val="398C0246"/>
    <w:rsid w:val="39900E35"/>
    <w:rsid w:val="39924349"/>
    <w:rsid w:val="39931BF0"/>
    <w:rsid w:val="39B5422E"/>
    <w:rsid w:val="39C35D66"/>
    <w:rsid w:val="39D36DFE"/>
    <w:rsid w:val="39DB2C9C"/>
    <w:rsid w:val="39F34754"/>
    <w:rsid w:val="3A0444A1"/>
    <w:rsid w:val="3A1953FA"/>
    <w:rsid w:val="3A2004D4"/>
    <w:rsid w:val="3A35773B"/>
    <w:rsid w:val="3A577D90"/>
    <w:rsid w:val="3A6F6E52"/>
    <w:rsid w:val="3A745EA8"/>
    <w:rsid w:val="3A78116B"/>
    <w:rsid w:val="3A912544"/>
    <w:rsid w:val="3AB3160D"/>
    <w:rsid w:val="3AFD0E13"/>
    <w:rsid w:val="3B00554C"/>
    <w:rsid w:val="3B1D3498"/>
    <w:rsid w:val="3B3A14C4"/>
    <w:rsid w:val="3B613E13"/>
    <w:rsid w:val="3BE133BA"/>
    <w:rsid w:val="3BE365B0"/>
    <w:rsid w:val="3BF572CA"/>
    <w:rsid w:val="3C124DB5"/>
    <w:rsid w:val="3C255CA3"/>
    <w:rsid w:val="3C434923"/>
    <w:rsid w:val="3C4D3C09"/>
    <w:rsid w:val="3C83331D"/>
    <w:rsid w:val="3C8E1036"/>
    <w:rsid w:val="3CE33431"/>
    <w:rsid w:val="3D4178D9"/>
    <w:rsid w:val="3D5C3BD3"/>
    <w:rsid w:val="3DA644DD"/>
    <w:rsid w:val="3DDC2808"/>
    <w:rsid w:val="3DE25B6C"/>
    <w:rsid w:val="3E304685"/>
    <w:rsid w:val="3E4928E7"/>
    <w:rsid w:val="3E5558A1"/>
    <w:rsid w:val="3E5C7046"/>
    <w:rsid w:val="3E791EDD"/>
    <w:rsid w:val="3EBC29A0"/>
    <w:rsid w:val="3EDC2C68"/>
    <w:rsid w:val="3EF329B8"/>
    <w:rsid w:val="3EFB0039"/>
    <w:rsid w:val="3F333668"/>
    <w:rsid w:val="3F407C1D"/>
    <w:rsid w:val="3F5020C5"/>
    <w:rsid w:val="3F7B127C"/>
    <w:rsid w:val="3F903981"/>
    <w:rsid w:val="3FB201F7"/>
    <w:rsid w:val="400813D7"/>
    <w:rsid w:val="401E6BBC"/>
    <w:rsid w:val="404C4190"/>
    <w:rsid w:val="40577B5E"/>
    <w:rsid w:val="40593009"/>
    <w:rsid w:val="40666787"/>
    <w:rsid w:val="4068346A"/>
    <w:rsid w:val="409C2352"/>
    <w:rsid w:val="40A74EA9"/>
    <w:rsid w:val="40B27F8E"/>
    <w:rsid w:val="411D04C9"/>
    <w:rsid w:val="41252EDB"/>
    <w:rsid w:val="41997065"/>
    <w:rsid w:val="41DA54D8"/>
    <w:rsid w:val="42187ABE"/>
    <w:rsid w:val="423E3290"/>
    <w:rsid w:val="423F533B"/>
    <w:rsid w:val="42557335"/>
    <w:rsid w:val="42733236"/>
    <w:rsid w:val="42B328E8"/>
    <w:rsid w:val="42B3678D"/>
    <w:rsid w:val="43016360"/>
    <w:rsid w:val="4306756B"/>
    <w:rsid w:val="430C3884"/>
    <w:rsid w:val="430D71E7"/>
    <w:rsid w:val="431A62F2"/>
    <w:rsid w:val="4326260B"/>
    <w:rsid w:val="436F3F4A"/>
    <w:rsid w:val="43766F04"/>
    <w:rsid w:val="437A49A7"/>
    <w:rsid w:val="43F059B8"/>
    <w:rsid w:val="4428542C"/>
    <w:rsid w:val="443A0ABE"/>
    <w:rsid w:val="44491DDB"/>
    <w:rsid w:val="44564767"/>
    <w:rsid w:val="449D3C38"/>
    <w:rsid w:val="44C266C7"/>
    <w:rsid w:val="44F07163"/>
    <w:rsid w:val="4541586E"/>
    <w:rsid w:val="457572C5"/>
    <w:rsid w:val="457A517B"/>
    <w:rsid w:val="45E3145C"/>
    <w:rsid w:val="460948B3"/>
    <w:rsid w:val="46127266"/>
    <w:rsid w:val="46130284"/>
    <w:rsid w:val="464F5C99"/>
    <w:rsid w:val="465A557C"/>
    <w:rsid w:val="467E5DF6"/>
    <w:rsid w:val="47234423"/>
    <w:rsid w:val="47534531"/>
    <w:rsid w:val="477119A2"/>
    <w:rsid w:val="47804CDD"/>
    <w:rsid w:val="478E39F4"/>
    <w:rsid w:val="47AB480C"/>
    <w:rsid w:val="47E96E38"/>
    <w:rsid w:val="47FF3A45"/>
    <w:rsid w:val="4865044A"/>
    <w:rsid w:val="48802209"/>
    <w:rsid w:val="48A24A37"/>
    <w:rsid w:val="48A92484"/>
    <w:rsid w:val="48B461F2"/>
    <w:rsid w:val="48D2485B"/>
    <w:rsid w:val="48E22EC4"/>
    <w:rsid w:val="497847C6"/>
    <w:rsid w:val="4981685D"/>
    <w:rsid w:val="49936A2A"/>
    <w:rsid w:val="49DE3F2D"/>
    <w:rsid w:val="4A0816FC"/>
    <w:rsid w:val="4A0C7DAE"/>
    <w:rsid w:val="4A5B2C67"/>
    <w:rsid w:val="4A623B42"/>
    <w:rsid w:val="4AAE0862"/>
    <w:rsid w:val="4AC773A4"/>
    <w:rsid w:val="4AD65745"/>
    <w:rsid w:val="4AED19D5"/>
    <w:rsid w:val="4AFD2172"/>
    <w:rsid w:val="4AFD5F43"/>
    <w:rsid w:val="4B634D56"/>
    <w:rsid w:val="4B8C3390"/>
    <w:rsid w:val="4BB334FE"/>
    <w:rsid w:val="4BB43A07"/>
    <w:rsid w:val="4BC45822"/>
    <w:rsid w:val="4BD64843"/>
    <w:rsid w:val="4BF00C1F"/>
    <w:rsid w:val="4C123FE2"/>
    <w:rsid w:val="4C5E1BC5"/>
    <w:rsid w:val="4C727900"/>
    <w:rsid w:val="4CA243DB"/>
    <w:rsid w:val="4CAD68B1"/>
    <w:rsid w:val="4CD963AA"/>
    <w:rsid w:val="4CEA49C9"/>
    <w:rsid w:val="4D405120"/>
    <w:rsid w:val="4D6428F6"/>
    <w:rsid w:val="4D7F1DFA"/>
    <w:rsid w:val="4DA83D67"/>
    <w:rsid w:val="4DC15EC7"/>
    <w:rsid w:val="4DC40350"/>
    <w:rsid w:val="4DFB70BD"/>
    <w:rsid w:val="4E1A53F8"/>
    <w:rsid w:val="4E266712"/>
    <w:rsid w:val="4E4C59F5"/>
    <w:rsid w:val="4E6406A9"/>
    <w:rsid w:val="4E6F57D6"/>
    <w:rsid w:val="4EAB5678"/>
    <w:rsid w:val="4EB16CE6"/>
    <w:rsid w:val="4EF87033"/>
    <w:rsid w:val="4F071341"/>
    <w:rsid w:val="4F0E056F"/>
    <w:rsid w:val="4F1669A2"/>
    <w:rsid w:val="4F2A088F"/>
    <w:rsid w:val="4F6442C7"/>
    <w:rsid w:val="4FA317AE"/>
    <w:rsid w:val="4FE92D0D"/>
    <w:rsid w:val="50002C37"/>
    <w:rsid w:val="50086534"/>
    <w:rsid w:val="500E09CC"/>
    <w:rsid w:val="50335BF4"/>
    <w:rsid w:val="504A4925"/>
    <w:rsid w:val="509114EF"/>
    <w:rsid w:val="50A01F5C"/>
    <w:rsid w:val="50BB5E8D"/>
    <w:rsid w:val="50C53B40"/>
    <w:rsid w:val="50C87D1D"/>
    <w:rsid w:val="50E730CD"/>
    <w:rsid w:val="51015293"/>
    <w:rsid w:val="51080031"/>
    <w:rsid w:val="511E5298"/>
    <w:rsid w:val="51281690"/>
    <w:rsid w:val="51493584"/>
    <w:rsid w:val="51615771"/>
    <w:rsid w:val="517816C3"/>
    <w:rsid w:val="518A40F8"/>
    <w:rsid w:val="51B573C7"/>
    <w:rsid w:val="523B6ECB"/>
    <w:rsid w:val="5261453C"/>
    <w:rsid w:val="52692A75"/>
    <w:rsid w:val="52797A03"/>
    <w:rsid w:val="52870AA3"/>
    <w:rsid w:val="52E54236"/>
    <w:rsid w:val="52E65063"/>
    <w:rsid w:val="52EA2152"/>
    <w:rsid w:val="532C4175"/>
    <w:rsid w:val="536C7641"/>
    <w:rsid w:val="53760A39"/>
    <w:rsid w:val="539B435F"/>
    <w:rsid w:val="53B3176D"/>
    <w:rsid w:val="53E70BC4"/>
    <w:rsid w:val="54065D20"/>
    <w:rsid w:val="5425066B"/>
    <w:rsid w:val="54732DE4"/>
    <w:rsid w:val="547A56CB"/>
    <w:rsid w:val="54AA7576"/>
    <w:rsid w:val="54BB6E08"/>
    <w:rsid w:val="54BC7AE0"/>
    <w:rsid w:val="54BD3841"/>
    <w:rsid w:val="54CD67D6"/>
    <w:rsid w:val="54FC1593"/>
    <w:rsid w:val="550B6D63"/>
    <w:rsid w:val="55265F50"/>
    <w:rsid w:val="553E0D9B"/>
    <w:rsid w:val="55821CB6"/>
    <w:rsid w:val="55997BA4"/>
    <w:rsid w:val="55BB1F3A"/>
    <w:rsid w:val="55E738C7"/>
    <w:rsid w:val="56013FE1"/>
    <w:rsid w:val="56024BA5"/>
    <w:rsid w:val="560B48D5"/>
    <w:rsid w:val="56352128"/>
    <w:rsid w:val="563952E7"/>
    <w:rsid w:val="5647080A"/>
    <w:rsid w:val="56484751"/>
    <w:rsid w:val="56493019"/>
    <w:rsid w:val="5658473D"/>
    <w:rsid w:val="56684E1A"/>
    <w:rsid w:val="568529A7"/>
    <w:rsid w:val="56A32702"/>
    <w:rsid w:val="56B31493"/>
    <w:rsid w:val="56B4335B"/>
    <w:rsid w:val="56EB1EE7"/>
    <w:rsid w:val="570338F8"/>
    <w:rsid w:val="572B20DD"/>
    <w:rsid w:val="573F2166"/>
    <w:rsid w:val="575C74D9"/>
    <w:rsid w:val="576F6EA9"/>
    <w:rsid w:val="577C7A73"/>
    <w:rsid w:val="5790617B"/>
    <w:rsid w:val="57AF3FD0"/>
    <w:rsid w:val="57D95B99"/>
    <w:rsid w:val="57F7F6EF"/>
    <w:rsid w:val="58165FFD"/>
    <w:rsid w:val="585F2C97"/>
    <w:rsid w:val="58726076"/>
    <w:rsid w:val="587B1BB1"/>
    <w:rsid w:val="58887262"/>
    <w:rsid w:val="58B740E7"/>
    <w:rsid w:val="58B90548"/>
    <w:rsid w:val="58E03BDA"/>
    <w:rsid w:val="58FF0479"/>
    <w:rsid w:val="59282B75"/>
    <w:rsid w:val="59297638"/>
    <w:rsid w:val="594276D3"/>
    <w:rsid w:val="59495742"/>
    <w:rsid w:val="599B3347"/>
    <w:rsid w:val="59B64D9E"/>
    <w:rsid w:val="59C21D96"/>
    <w:rsid w:val="59D53557"/>
    <w:rsid w:val="59DE2B42"/>
    <w:rsid w:val="5A1470EE"/>
    <w:rsid w:val="5A1C6B5A"/>
    <w:rsid w:val="5A4474F4"/>
    <w:rsid w:val="5A5E43F6"/>
    <w:rsid w:val="5A67360B"/>
    <w:rsid w:val="5A70378E"/>
    <w:rsid w:val="5A821C06"/>
    <w:rsid w:val="5ABC2009"/>
    <w:rsid w:val="5AFC7829"/>
    <w:rsid w:val="5B0E3CEF"/>
    <w:rsid w:val="5B213738"/>
    <w:rsid w:val="5B60613A"/>
    <w:rsid w:val="5BA61335"/>
    <w:rsid w:val="5BD106A4"/>
    <w:rsid w:val="5BE97B7F"/>
    <w:rsid w:val="5C413E16"/>
    <w:rsid w:val="5C6C7A18"/>
    <w:rsid w:val="5C9F73BB"/>
    <w:rsid w:val="5CA36B27"/>
    <w:rsid w:val="5CC94D24"/>
    <w:rsid w:val="5D277AD7"/>
    <w:rsid w:val="5D353301"/>
    <w:rsid w:val="5D520673"/>
    <w:rsid w:val="5D8734FD"/>
    <w:rsid w:val="5D920F94"/>
    <w:rsid w:val="5DB449D7"/>
    <w:rsid w:val="5DBD2D97"/>
    <w:rsid w:val="5DD67B6B"/>
    <w:rsid w:val="5E0363A9"/>
    <w:rsid w:val="5E0C4B27"/>
    <w:rsid w:val="5E1E164D"/>
    <w:rsid w:val="5E58112D"/>
    <w:rsid w:val="5E5F5205"/>
    <w:rsid w:val="5E727D08"/>
    <w:rsid w:val="5E876331"/>
    <w:rsid w:val="5ECC7F1D"/>
    <w:rsid w:val="5EF24516"/>
    <w:rsid w:val="5EFE4C88"/>
    <w:rsid w:val="5F293F60"/>
    <w:rsid w:val="5F2C4BBF"/>
    <w:rsid w:val="5F392E12"/>
    <w:rsid w:val="5F837DAC"/>
    <w:rsid w:val="5F95707B"/>
    <w:rsid w:val="5FA362B2"/>
    <w:rsid w:val="60196D73"/>
    <w:rsid w:val="60551BD4"/>
    <w:rsid w:val="60665C1E"/>
    <w:rsid w:val="61982EDE"/>
    <w:rsid w:val="61A3792A"/>
    <w:rsid w:val="61B431F8"/>
    <w:rsid w:val="62000CFE"/>
    <w:rsid w:val="62036030"/>
    <w:rsid w:val="620626F6"/>
    <w:rsid w:val="620A1069"/>
    <w:rsid w:val="623B0EA4"/>
    <w:rsid w:val="62832BCA"/>
    <w:rsid w:val="62932E66"/>
    <w:rsid w:val="629E17E6"/>
    <w:rsid w:val="62B54FB4"/>
    <w:rsid w:val="62D459B6"/>
    <w:rsid w:val="62FA5A0C"/>
    <w:rsid w:val="635B0D9A"/>
    <w:rsid w:val="638A761D"/>
    <w:rsid w:val="638E67B4"/>
    <w:rsid w:val="63A6132E"/>
    <w:rsid w:val="640732AC"/>
    <w:rsid w:val="641811EF"/>
    <w:rsid w:val="641C3894"/>
    <w:rsid w:val="643303F8"/>
    <w:rsid w:val="64441204"/>
    <w:rsid w:val="645338D9"/>
    <w:rsid w:val="646707BD"/>
    <w:rsid w:val="64E44D1B"/>
    <w:rsid w:val="65077AE2"/>
    <w:rsid w:val="650C0547"/>
    <w:rsid w:val="65392699"/>
    <w:rsid w:val="654D2AEF"/>
    <w:rsid w:val="655A2308"/>
    <w:rsid w:val="65766A16"/>
    <w:rsid w:val="65893AD8"/>
    <w:rsid w:val="658F144F"/>
    <w:rsid w:val="65E3691C"/>
    <w:rsid w:val="65E5010A"/>
    <w:rsid w:val="65E81727"/>
    <w:rsid w:val="65F242EE"/>
    <w:rsid w:val="65F46E22"/>
    <w:rsid w:val="65FF0B7A"/>
    <w:rsid w:val="663E5750"/>
    <w:rsid w:val="6651348F"/>
    <w:rsid w:val="666E6FEC"/>
    <w:rsid w:val="66BF3AE2"/>
    <w:rsid w:val="66C161FB"/>
    <w:rsid w:val="66C57AFD"/>
    <w:rsid w:val="66CF56D2"/>
    <w:rsid w:val="66D73473"/>
    <w:rsid w:val="66E8218C"/>
    <w:rsid w:val="66F42721"/>
    <w:rsid w:val="671B3FB8"/>
    <w:rsid w:val="672B5331"/>
    <w:rsid w:val="67345D03"/>
    <w:rsid w:val="676324FD"/>
    <w:rsid w:val="67764912"/>
    <w:rsid w:val="67790BFF"/>
    <w:rsid w:val="67875F8C"/>
    <w:rsid w:val="679C2B93"/>
    <w:rsid w:val="67BA4F21"/>
    <w:rsid w:val="67D55C76"/>
    <w:rsid w:val="67D75828"/>
    <w:rsid w:val="67E004CF"/>
    <w:rsid w:val="67FC7FCB"/>
    <w:rsid w:val="680C2EEA"/>
    <w:rsid w:val="680E3321"/>
    <w:rsid w:val="68187E17"/>
    <w:rsid w:val="684D39CE"/>
    <w:rsid w:val="6852376A"/>
    <w:rsid w:val="68735867"/>
    <w:rsid w:val="68B02080"/>
    <w:rsid w:val="68CE307F"/>
    <w:rsid w:val="69345580"/>
    <w:rsid w:val="695259EE"/>
    <w:rsid w:val="69701468"/>
    <w:rsid w:val="69B35ACA"/>
    <w:rsid w:val="69D9500B"/>
    <w:rsid w:val="69F92B5A"/>
    <w:rsid w:val="6A004A8F"/>
    <w:rsid w:val="6A0A3131"/>
    <w:rsid w:val="6A3B2520"/>
    <w:rsid w:val="6A48221F"/>
    <w:rsid w:val="6A573C83"/>
    <w:rsid w:val="6A763B7E"/>
    <w:rsid w:val="6A811ACA"/>
    <w:rsid w:val="6AA62698"/>
    <w:rsid w:val="6AA76641"/>
    <w:rsid w:val="6AAF6C52"/>
    <w:rsid w:val="6ADD762D"/>
    <w:rsid w:val="6B052993"/>
    <w:rsid w:val="6B212899"/>
    <w:rsid w:val="6B2C1BF3"/>
    <w:rsid w:val="6B7C44FB"/>
    <w:rsid w:val="6BCD5A15"/>
    <w:rsid w:val="6BD6020E"/>
    <w:rsid w:val="6BD63CBC"/>
    <w:rsid w:val="6BE57D10"/>
    <w:rsid w:val="6BE95791"/>
    <w:rsid w:val="6C1F49BF"/>
    <w:rsid w:val="6C355F9C"/>
    <w:rsid w:val="6C446BC6"/>
    <w:rsid w:val="6CE0394A"/>
    <w:rsid w:val="6CEC235E"/>
    <w:rsid w:val="6D177182"/>
    <w:rsid w:val="6D1A6418"/>
    <w:rsid w:val="6D326076"/>
    <w:rsid w:val="6D506A2E"/>
    <w:rsid w:val="6D5A3487"/>
    <w:rsid w:val="6D5E2CCD"/>
    <w:rsid w:val="6D6D502F"/>
    <w:rsid w:val="6D6E60CD"/>
    <w:rsid w:val="6D8F6C94"/>
    <w:rsid w:val="6D960440"/>
    <w:rsid w:val="6DAC6487"/>
    <w:rsid w:val="6DCB5C43"/>
    <w:rsid w:val="6E195EC3"/>
    <w:rsid w:val="6E612802"/>
    <w:rsid w:val="6E741A0F"/>
    <w:rsid w:val="6E767150"/>
    <w:rsid w:val="6E790E04"/>
    <w:rsid w:val="6E850AD6"/>
    <w:rsid w:val="6E87536A"/>
    <w:rsid w:val="6EB57C00"/>
    <w:rsid w:val="6ED07FA1"/>
    <w:rsid w:val="6ED62326"/>
    <w:rsid w:val="6EF466AA"/>
    <w:rsid w:val="6F0842EA"/>
    <w:rsid w:val="6F0913B5"/>
    <w:rsid w:val="6F17262A"/>
    <w:rsid w:val="6F9B720B"/>
    <w:rsid w:val="6FAC1505"/>
    <w:rsid w:val="6FAC3D22"/>
    <w:rsid w:val="6FC67692"/>
    <w:rsid w:val="6FEC55A3"/>
    <w:rsid w:val="6FF17ED0"/>
    <w:rsid w:val="70012EE1"/>
    <w:rsid w:val="707F3FBD"/>
    <w:rsid w:val="7096180D"/>
    <w:rsid w:val="70A86C3A"/>
    <w:rsid w:val="70BC5393"/>
    <w:rsid w:val="70D2387C"/>
    <w:rsid w:val="70D87128"/>
    <w:rsid w:val="711F552E"/>
    <w:rsid w:val="716C253C"/>
    <w:rsid w:val="718A64BC"/>
    <w:rsid w:val="71CE569C"/>
    <w:rsid w:val="71E34648"/>
    <w:rsid w:val="726D4DB5"/>
    <w:rsid w:val="728F6340"/>
    <w:rsid w:val="72E44A02"/>
    <w:rsid w:val="73077939"/>
    <w:rsid w:val="732A1831"/>
    <w:rsid w:val="73483B9D"/>
    <w:rsid w:val="736A3516"/>
    <w:rsid w:val="736E5CB2"/>
    <w:rsid w:val="73702990"/>
    <w:rsid w:val="7395223B"/>
    <w:rsid w:val="73AD67AC"/>
    <w:rsid w:val="73B452D9"/>
    <w:rsid w:val="73C93E8A"/>
    <w:rsid w:val="7401158C"/>
    <w:rsid w:val="74062D66"/>
    <w:rsid w:val="740D2C6D"/>
    <w:rsid w:val="74280E7C"/>
    <w:rsid w:val="743B71FB"/>
    <w:rsid w:val="74404DBF"/>
    <w:rsid w:val="745E0E85"/>
    <w:rsid w:val="7487472F"/>
    <w:rsid w:val="74A52357"/>
    <w:rsid w:val="74A92E08"/>
    <w:rsid w:val="74ED0A6F"/>
    <w:rsid w:val="74ED7E14"/>
    <w:rsid w:val="75433805"/>
    <w:rsid w:val="754F5658"/>
    <w:rsid w:val="75643696"/>
    <w:rsid w:val="756B7C19"/>
    <w:rsid w:val="75797DCA"/>
    <w:rsid w:val="75DD52AE"/>
    <w:rsid w:val="75F86ED0"/>
    <w:rsid w:val="76A6298D"/>
    <w:rsid w:val="76A71171"/>
    <w:rsid w:val="76D6266E"/>
    <w:rsid w:val="76E76806"/>
    <w:rsid w:val="771539D0"/>
    <w:rsid w:val="773F2020"/>
    <w:rsid w:val="77460F4F"/>
    <w:rsid w:val="7749091F"/>
    <w:rsid w:val="77776737"/>
    <w:rsid w:val="779D2BAA"/>
    <w:rsid w:val="779F6414"/>
    <w:rsid w:val="77A20AB7"/>
    <w:rsid w:val="77B45668"/>
    <w:rsid w:val="77B96484"/>
    <w:rsid w:val="77E315FD"/>
    <w:rsid w:val="77FB23EE"/>
    <w:rsid w:val="77FB54EE"/>
    <w:rsid w:val="78476BC0"/>
    <w:rsid w:val="78601FC7"/>
    <w:rsid w:val="78707237"/>
    <w:rsid w:val="787D6CB8"/>
    <w:rsid w:val="788E01A2"/>
    <w:rsid w:val="78CC4A5D"/>
    <w:rsid w:val="78F34776"/>
    <w:rsid w:val="78FA3B98"/>
    <w:rsid w:val="791C60EA"/>
    <w:rsid w:val="7944563C"/>
    <w:rsid w:val="79491017"/>
    <w:rsid w:val="79A74E86"/>
    <w:rsid w:val="79D5678C"/>
    <w:rsid w:val="79E40003"/>
    <w:rsid w:val="79F6366C"/>
    <w:rsid w:val="7A2736ED"/>
    <w:rsid w:val="7A3A7D8C"/>
    <w:rsid w:val="7A516126"/>
    <w:rsid w:val="7A624EAD"/>
    <w:rsid w:val="7A6B3794"/>
    <w:rsid w:val="7AAB01EC"/>
    <w:rsid w:val="7AD6435A"/>
    <w:rsid w:val="7AD64A97"/>
    <w:rsid w:val="7ADB08A6"/>
    <w:rsid w:val="7AE879F4"/>
    <w:rsid w:val="7AEF6680"/>
    <w:rsid w:val="7AF30189"/>
    <w:rsid w:val="7B635E4B"/>
    <w:rsid w:val="7BF94118"/>
    <w:rsid w:val="7C417D55"/>
    <w:rsid w:val="7C8038A4"/>
    <w:rsid w:val="7C95557C"/>
    <w:rsid w:val="7CA47516"/>
    <w:rsid w:val="7CBF32DF"/>
    <w:rsid w:val="7CBF78A4"/>
    <w:rsid w:val="7CE80CEF"/>
    <w:rsid w:val="7D364FB1"/>
    <w:rsid w:val="7D3B79F0"/>
    <w:rsid w:val="7D605C1A"/>
    <w:rsid w:val="7D7319B3"/>
    <w:rsid w:val="7D752DCB"/>
    <w:rsid w:val="7D9D3C24"/>
    <w:rsid w:val="7DCC62E1"/>
    <w:rsid w:val="7DDF16F3"/>
    <w:rsid w:val="7DEA36B6"/>
    <w:rsid w:val="7E0F0552"/>
    <w:rsid w:val="7ECC47CC"/>
    <w:rsid w:val="7EEC18F0"/>
    <w:rsid w:val="7EFC70C2"/>
    <w:rsid w:val="7F2072AF"/>
    <w:rsid w:val="7F3638AD"/>
    <w:rsid w:val="7F4236F9"/>
    <w:rsid w:val="7F622D65"/>
    <w:rsid w:val="7FBC0AEB"/>
    <w:rsid w:val="7FE67C91"/>
    <w:rsid w:val="9B9FF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43"/>
    <w:qFormat/>
    <w:uiPriority w:val="0"/>
    <w:pPr>
      <w:spacing w:line="360" w:lineRule="exact"/>
      <w:jc w:val="center"/>
      <w:outlineLvl w:val="0"/>
    </w:pPr>
    <w:rPr>
      <w:rFonts w:ascii="宋体"/>
      <w:b/>
      <w:kern w:val="0"/>
      <w:sz w:val="30"/>
      <w:szCs w:val="24"/>
    </w:rPr>
  </w:style>
  <w:style w:type="paragraph" w:styleId="3">
    <w:name w:val="heading 2"/>
    <w:basedOn w:val="1"/>
    <w:next w:val="1"/>
    <w:link w:val="44"/>
    <w:qFormat/>
    <w:uiPriority w:val="0"/>
    <w:pPr>
      <w:jc w:val="center"/>
      <w:outlineLvl w:val="1"/>
    </w:pPr>
    <w:rPr>
      <w:rFonts w:ascii="宋体" w:hAnsi="宋体"/>
      <w:kern w:val="0"/>
      <w:sz w:val="32"/>
      <w:szCs w:val="24"/>
    </w:rPr>
  </w:style>
  <w:style w:type="paragraph" w:styleId="4">
    <w:name w:val="heading 3"/>
    <w:basedOn w:val="1"/>
    <w:next w:val="1"/>
    <w:link w:val="45"/>
    <w:qFormat/>
    <w:uiPriority w:val="0"/>
    <w:pPr>
      <w:keepNext/>
      <w:keepLines/>
      <w:spacing w:line="413" w:lineRule="auto"/>
      <w:jc w:val="center"/>
      <w:outlineLvl w:val="2"/>
    </w:pPr>
    <w:rPr>
      <w:rFonts w:ascii="宋体" w:hAnsi="宋体"/>
      <w:b/>
      <w:bCs/>
      <w:kern w:val="0"/>
      <w:sz w:val="32"/>
      <w:szCs w:val="32"/>
    </w:rPr>
  </w:style>
  <w:style w:type="paragraph" w:styleId="5">
    <w:name w:val="heading 4"/>
    <w:basedOn w:val="1"/>
    <w:next w:val="1"/>
    <w:link w:val="46"/>
    <w:qFormat/>
    <w:uiPriority w:val="0"/>
    <w:pPr>
      <w:keepNext/>
      <w:keepLines/>
      <w:spacing w:before="280" w:after="290" w:line="376" w:lineRule="auto"/>
      <w:outlineLvl w:val="3"/>
    </w:pPr>
    <w:rPr>
      <w:rFonts w:ascii="Cambria" w:hAnsi="Cambria"/>
      <w:b/>
      <w:bCs/>
      <w:kern w:val="0"/>
      <w:sz w:val="28"/>
      <w:szCs w:val="28"/>
    </w:rPr>
  </w:style>
  <w:style w:type="character" w:default="1" w:styleId="36">
    <w:name w:val="Default Paragraph Font"/>
    <w:unhideWhenUsed/>
    <w:uiPriority w:val="1"/>
  </w:style>
  <w:style w:type="table" w:default="1" w:styleId="34">
    <w:name w:val="Normal Table"/>
    <w:unhideWhenUsed/>
    <w:qFormat/>
    <w:uiPriority w:val="99"/>
    <w:tblPr>
      <w:tblStyle w:val="34"/>
      <w:tblCellMar>
        <w:top w:w="0" w:type="dxa"/>
        <w:left w:w="108" w:type="dxa"/>
        <w:bottom w:w="0" w:type="dxa"/>
        <w:right w:w="108" w:type="dxa"/>
      </w:tblCellMar>
    </w:tblPr>
  </w:style>
  <w:style w:type="paragraph" w:styleId="6">
    <w:name w:val="toc 7"/>
    <w:basedOn w:val="1"/>
    <w:next w:val="1"/>
    <w:uiPriority w:val="39"/>
    <w:pPr>
      <w:ind w:left="2520" w:leftChars="1200"/>
    </w:pPr>
    <w:rPr>
      <w:rFonts w:ascii="Times New Roman" w:hAnsi="Times New Roman" w:eastAsia="宋体" w:cs="Times New Roman"/>
      <w:szCs w:val="24"/>
    </w:r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7"/>
    <w:qFormat/>
    <w:uiPriority w:val="0"/>
    <w:pPr>
      <w:jc w:val="left"/>
    </w:pPr>
    <w:rPr>
      <w:kern w:val="0"/>
      <w:sz w:val="20"/>
      <w:szCs w:val="20"/>
    </w:rPr>
  </w:style>
  <w:style w:type="paragraph" w:styleId="9">
    <w:name w:val="Body Text"/>
    <w:basedOn w:val="1"/>
    <w:link w:val="48"/>
    <w:unhideWhenUsed/>
    <w:qFormat/>
    <w:uiPriority w:val="0"/>
    <w:pPr>
      <w:spacing w:after="120"/>
    </w:pPr>
  </w:style>
  <w:style w:type="paragraph" w:styleId="10">
    <w:name w:val="Body Text Indent"/>
    <w:basedOn w:val="1"/>
    <w:next w:val="1"/>
    <w:link w:val="49"/>
    <w:qFormat/>
    <w:uiPriority w:val="0"/>
    <w:pPr>
      <w:spacing w:after="120"/>
      <w:ind w:left="420" w:leftChars="200"/>
    </w:pPr>
    <w:rPr>
      <w:kern w:val="0"/>
      <w:sz w:val="20"/>
      <w:szCs w:val="24"/>
    </w:rPr>
  </w:style>
  <w:style w:type="paragraph" w:styleId="11">
    <w:name w:val="toc 5"/>
    <w:basedOn w:val="1"/>
    <w:next w:val="1"/>
    <w:qFormat/>
    <w:uiPriority w:val="39"/>
    <w:pPr>
      <w:ind w:left="1680" w:leftChars="800"/>
    </w:pPr>
    <w:rPr>
      <w:rFonts w:ascii="Times New Roman" w:hAnsi="Times New Roman" w:eastAsia="宋体" w:cs="Times New Roman"/>
      <w:szCs w:val="24"/>
    </w:rPr>
  </w:style>
  <w:style w:type="paragraph" w:styleId="12">
    <w:name w:val="toc 3"/>
    <w:basedOn w:val="1"/>
    <w:next w:val="1"/>
    <w:qFormat/>
    <w:uiPriority w:val="39"/>
    <w:pPr>
      <w:tabs>
        <w:tab w:val="right" w:leader="dot" w:pos="8280"/>
      </w:tabs>
    </w:pPr>
    <w:rPr>
      <w:rFonts w:ascii="Times New Roman" w:hAnsi="Times New Roman" w:eastAsia="宋体" w:cs="Times New Roman"/>
      <w:szCs w:val="24"/>
    </w:rPr>
  </w:style>
  <w:style w:type="paragraph" w:styleId="13">
    <w:name w:val="Plain Text"/>
    <w:basedOn w:val="1"/>
    <w:link w:val="50"/>
    <w:qFormat/>
    <w:uiPriority w:val="0"/>
    <w:rPr>
      <w:rFonts w:ascii="宋体" w:hAnsi="Courier New"/>
      <w:kern w:val="0"/>
      <w:sz w:val="20"/>
      <w:szCs w:val="24"/>
    </w:rPr>
  </w:style>
  <w:style w:type="paragraph" w:styleId="14">
    <w:name w:val="toc 8"/>
    <w:basedOn w:val="1"/>
    <w:next w:val="1"/>
    <w:qFormat/>
    <w:uiPriority w:val="39"/>
    <w:pPr>
      <w:ind w:left="2940" w:leftChars="1400"/>
    </w:pPr>
    <w:rPr>
      <w:rFonts w:ascii="Times New Roman" w:hAnsi="Times New Roman" w:eastAsia="宋体" w:cs="Times New Roman"/>
      <w:szCs w:val="24"/>
    </w:rPr>
  </w:style>
  <w:style w:type="paragraph" w:styleId="15">
    <w:name w:val="Date"/>
    <w:basedOn w:val="1"/>
    <w:next w:val="1"/>
    <w:link w:val="51"/>
    <w:qFormat/>
    <w:uiPriority w:val="0"/>
    <w:rPr>
      <w:rFonts w:eastAsia="黑体"/>
      <w:kern w:val="0"/>
      <w:sz w:val="24"/>
      <w:szCs w:val="20"/>
    </w:rPr>
  </w:style>
  <w:style w:type="paragraph" w:styleId="16">
    <w:name w:val="Body Text Indent 2"/>
    <w:basedOn w:val="1"/>
    <w:link w:val="52"/>
    <w:qFormat/>
    <w:uiPriority w:val="0"/>
    <w:pPr>
      <w:spacing w:line="280" w:lineRule="exact"/>
      <w:ind w:firstLine="360"/>
    </w:pPr>
    <w:rPr>
      <w:color w:val="FF0000"/>
      <w:kern w:val="0"/>
      <w:sz w:val="18"/>
      <w:szCs w:val="24"/>
    </w:rPr>
  </w:style>
  <w:style w:type="paragraph" w:styleId="17">
    <w:name w:val="Balloon Text"/>
    <w:basedOn w:val="1"/>
    <w:link w:val="53"/>
    <w:qFormat/>
    <w:uiPriority w:val="0"/>
    <w:rPr>
      <w:kern w:val="0"/>
      <w:sz w:val="18"/>
      <w:szCs w:val="18"/>
    </w:rPr>
  </w:style>
  <w:style w:type="paragraph" w:styleId="18">
    <w:name w:val="footer"/>
    <w:basedOn w:val="1"/>
    <w:link w:val="54"/>
    <w:qFormat/>
    <w:uiPriority w:val="99"/>
    <w:pPr>
      <w:tabs>
        <w:tab w:val="center" w:pos="4153"/>
        <w:tab w:val="right" w:pos="8306"/>
      </w:tabs>
      <w:snapToGrid w:val="0"/>
      <w:jc w:val="left"/>
    </w:pPr>
    <w:rPr>
      <w:kern w:val="0"/>
      <w:sz w:val="18"/>
      <w:szCs w:val="18"/>
    </w:rPr>
  </w:style>
  <w:style w:type="paragraph" w:styleId="19">
    <w:name w:val="header"/>
    <w:basedOn w:val="1"/>
    <w:link w:val="55"/>
    <w:qFormat/>
    <w:uiPriority w:val="0"/>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39"/>
    <w:pPr>
      <w:tabs>
        <w:tab w:val="right" w:leader="dot" w:pos="8280"/>
      </w:tabs>
    </w:pPr>
    <w:rPr>
      <w:rFonts w:ascii="Times New Roman" w:hAnsi="Times New Roman" w:eastAsia="宋体" w:cs="Times New Roman"/>
      <w:szCs w:val="24"/>
    </w:rPr>
  </w:style>
  <w:style w:type="paragraph" w:styleId="21">
    <w:name w:val="toc 4"/>
    <w:basedOn w:val="1"/>
    <w:next w:val="1"/>
    <w:qFormat/>
    <w:uiPriority w:val="39"/>
    <w:pPr>
      <w:ind w:left="1260" w:leftChars="600"/>
    </w:pPr>
    <w:rPr>
      <w:rFonts w:ascii="Times New Roman" w:hAnsi="Times New Roman" w:eastAsia="宋体" w:cs="Times New Roman"/>
      <w:szCs w:val="24"/>
    </w:rPr>
  </w:style>
  <w:style w:type="paragraph" w:styleId="22">
    <w:name w:val="List"/>
    <w:basedOn w:val="1"/>
    <w:qFormat/>
    <w:uiPriority w:val="0"/>
    <w:pPr>
      <w:ind w:left="420" w:hanging="420"/>
    </w:pPr>
    <w:rPr>
      <w:rFonts w:hint="eastAsia" w:ascii="Times New Roman" w:hAnsi="Times New Roman" w:eastAsia="楷体_GB2312" w:cs="Times New Roman"/>
      <w:sz w:val="24"/>
      <w:szCs w:val="24"/>
    </w:rPr>
  </w:style>
  <w:style w:type="paragraph" w:styleId="23">
    <w:name w:val="footnote text"/>
    <w:basedOn w:val="1"/>
    <w:link w:val="56"/>
    <w:qFormat/>
    <w:uiPriority w:val="0"/>
    <w:pPr>
      <w:autoSpaceDE w:val="0"/>
      <w:autoSpaceDN w:val="0"/>
      <w:adjustRightInd w:val="0"/>
      <w:jc w:val="left"/>
      <w:textAlignment w:val="baseline"/>
    </w:pPr>
    <w:rPr>
      <w:rFonts w:ascii="宋体"/>
      <w:kern w:val="0"/>
      <w:sz w:val="18"/>
      <w:szCs w:val="20"/>
    </w:rPr>
  </w:style>
  <w:style w:type="paragraph" w:styleId="24">
    <w:name w:val="toc 6"/>
    <w:basedOn w:val="1"/>
    <w:next w:val="1"/>
    <w:qFormat/>
    <w:uiPriority w:val="39"/>
    <w:pPr>
      <w:ind w:left="2100" w:leftChars="1000"/>
    </w:pPr>
    <w:rPr>
      <w:rFonts w:ascii="Times New Roman" w:hAnsi="Times New Roman" w:eastAsia="宋体" w:cs="Times New Roman"/>
      <w:szCs w:val="24"/>
    </w:rPr>
  </w:style>
  <w:style w:type="paragraph" w:styleId="25">
    <w:name w:val="Body Text Indent 3"/>
    <w:basedOn w:val="1"/>
    <w:link w:val="57"/>
    <w:uiPriority w:val="0"/>
    <w:pPr>
      <w:spacing w:line="260" w:lineRule="exact"/>
      <w:ind w:firstLine="360"/>
    </w:pPr>
    <w:rPr>
      <w:kern w:val="0"/>
      <w:sz w:val="18"/>
      <w:szCs w:val="24"/>
    </w:rPr>
  </w:style>
  <w:style w:type="paragraph" w:styleId="26">
    <w:name w:val="toc 2"/>
    <w:basedOn w:val="1"/>
    <w:next w:val="1"/>
    <w:qFormat/>
    <w:uiPriority w:val="39"/>
    <w:pPr>
      <w:tabs>
        <w:tab w:val="right" w:leader="dot" w:pos="8280"/>
      </w:tabs>
      <w:ind w:left="420" w:leftChars="200"/>
    </w:pPr>
    <w:rPr>
      <w:rFonts w:ascii="Times New Roman" w:hAnsi="Times New Roman" w:eastAsia="宋体" w:cs="Times New Roman"/>
      <w:szCs w:val="24"/>
    </w:rPr>
  </w:style>
  <w:style w:type="paragraph" w:styleId="27">
    <w:name w:val="toc 9"/>
    <w:basedOn w:val="1"/>
    <w:next w:val="1"/>
    <w:qFormat/>
    <w:uiPriority w:val="39"/>
    <w:pPr>
      <w:ind w:left="3360" w:leftChars="1600"/>
    </w:pPr>
    <w:rPr>
      <w:rFonts w:ascii="Times New Roman" w:hAnsi="Times New Roman" w:eastAsia="宋体" w:cs="Times New Roman"/>
      <w:szCs w:val="24"/>
    </w:rPr>
  </w:style>
  <w:style w:type="paragraph" w:styleId="28">
    <w:name w:val="Body Text 2"/>
    <w:basedOn w:val="1"/>
    <w:link w:val="58"/>
    <w:qFormat/>
    <w:uiPriority w:val="0"/>
    <w:pPr>
      <w:tabs>
        <w:tab w:val="left" w:pos="13860"/>
      </w:tabs>
      <w:spacing w:line="500" w:lineRule="exact"/>
    </w:pPr>
    <w:rPr>
      <w:rFonts w:eastAsia="华文中宋"/>
      <w:kern w:val="0"/>
      <w:sz w:val="28"/>
      <w:szCs w:val="24"/>
    </w:rPr>
  </w:style>
  <w:style w:type="paragraph" w:styleId="29">
    <w:name w:val="HTML Preformatted"/>
    <w:basedOn w:val="1"/>
    <w:link w:val="59"/>
    <w:qFormat/>
    <w:uiPriority w:val="0"/>
    <w:rPr>
      <w:rFonts w:ascii="Courier New" w:hAnsi="Courier New"/>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8"/>
    <w:next w:val="8"/>
    <w:link w:val="60"/>
    <w:qFormat/>
    <w:uiPriority w:val="0"/>
    <w:rPr>
      <w:b/>
      <w:bCs/>
      <w:szCs w:val="24"/>
    </w:rPr>
  </w:style>
  <w:style w:type="paragraph" w:styleId="32">
    <w:name w:val="Body Text First Indent"/>
    <w:basedOn w:val="9"/>
    <w:link w:val="61"/>
    <w:qFormat/>
    <w:uiPriority w:val="0"/>
    <w:pPr>
      <w:ind w:firstLine="420"/>
    </w:pPr>
    <w:rPr>
      <w:rFonts w:eastAsia="楷体_GB2312"/>
      <w:kern w:val="0"/>
      <w:sz w:val="24"/>
      <w:szCs w:val="24"/>
    </w:rPr>
  </w:style>
  <w:style w:type="paragraph" w:styleId="33">
    <w:name w:val="Body Text First Indent 2"/>
    <w:basedOn w:val="10"/>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table" w:styleId="35">
    <w:name w:val="Table Grid"/>
    <w:basedOn w:val="34"/>
    <w:qFormat/>
    <w:uiPriority w:val="59"/>
    <w:tblPr>
      <w:tblStyle w:val="3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FollowedHyperlink"/>
    <w:qFormat/>
    <w:uiPriority w:val="0"/>
    <w:rPr>
      <w:color w:val="800080"/>
      <w:u w:val="single"/>
    </w:rPr>
  </w:style>
  <w:style w:type="character" w:styleId="40">
    <w:name w:val="Hyperlink"/>
    <w:basedOn w:val="36"/>
    <w:qFormat/>
    <w:uiPriority w:val="99"/>
    <w:rPr>
      <w:color w:val="0000FF"/>
      <w:u w:val="single"/>
    </w:rPr>
  </w:style>
  <w:style w:type="character" w:styleId="41">
    <w:name w:val="annotation reference"/>
    <w:qFormat/>
    <w:uiPriority w:val="0"/>
    <w:rPr>
      <w:sz w:val="21"/>
      <w:szCs w:val="21"/>
    </w:rPr>
  </w:style>
  <w:style w:type="character" w:styleId="42">
    <w:name w:val="footnote reference"/>
    <w:qFormat/>
    <w:uiPriority w:val="0"/>
    <w:rPr>
      <w:vertAlign w:val="superscript"/>
    </w:rPr>
  </w:style>
  <w:style w:type="character" w:customStyle="1" w:styleId="43">
    <w:name w:val="标题 1 字符"/>
    <w:link w:val="2"/>
    <w:qFormat/>
    <w:uiPriority w:val="0"/>
    <w:rPr>
      <w:rFonts w:ascii="宋体" w:hAnsi="Times New Roman" w:eastAsia="宋体" w:cs="Times New Roman"/>
      <w:b/>
      <w:sz w:val="30"/>
      <w:szCs w:val="24"/>
    </w:rPr>
  </w:style>
  <w:style w:type="character" w:customStyle="1" w:styleId="44">
    <w:name w:val="标题 2 字符"/>
    <w:basedOn w:val="36"/>
    <w:link w:val="3"/>
    <w:qFormat/>
    <w:uiPriority w:val="0"/>
    <w:rPr>
      <w:rFonts w:ascii="宋体" w:hAnsi="宋体" w:eastAsia="宋体" w:cs="Times New Roman"/>
      <w:sz w:val="32"/>
      <w:szCs w:val="24"/>
    </w:rPr>
  </w:style>
  <w:style w:type="character" w:customStyle="1" w:styleId="45">
    <w:name w:val="标题 3 字符"/>
    <w:link w:val="4"/>
    <w:qFormat/>
    <w:uiPriority w:val="0"/>
    <w:rPr>
      <w:rFonts w:ascii="宋体" w:hAnsi="宋体" w:eastAsia="宋体" w:cs="Times New Roman"/>
      <w:b/>
      <w:bCs/>
      <w:sz w:val="32"/>
      <w:szCs w:val="32"/>
    </w:rPr>
  </w:style>
  <w:style w:type="character" w:customStyle="1" w:styleId="46">
    <w:name w:val="标题 4 字符"/>
    <w:link w:val="5"/>
    <w:qFormat/>
    <w:uiPriority w:val="0"/>
    <w:rPr>
      <w:rFonts w:ascii="Cambria" w:hAnsi="Cambria" w:eastAsia="宋体" w:cs="Times New Roman"/>
      <w:b/>
      <w:bCs/>
      <w:sz w:val="28"/>
      <w:szCs w:val="28"/>
    </w:rPr>
  </w:style>
  <w:style w:type="character" w:customStyle="1" w:styleId="47">
    <w:name w:val="批注文字 字符"/>
    <w:link w:val="8"/>
    <w:qFormat/>
    <w:uiPriority w:val="0"/>
    <w:rPr>
      <w:rFonts w:ascii="Times New Roman" w:hAnsi="Times New Roman" w:eastAsia="宋体" w:cs="Times New Roman"/>
      <w:szCs w:val="20"/>
    </w:rPr>
  </w:style>
  <w:style w:type="character" w:customStyle="1" w:styleId="48">
    <w:name w:val="正文文本 字符"/>
    <w:basedOn w:val="36"/>
    <w:link w:val="9"/>
    <w:semiHidden/>
    <w:qFormat/>
    <w:uiPriority w:val="99"/>
  </w:style>
  <w:style w:type="character" w:customStyle="1" w:styleId="49">
    <w:name w:val="正文文本缩进 字符"/>
    <w:link w:val="10"/>
    <w:qFormat/>
    <w:uiPriority w:val="0"/>
    <w:rPr>
      <w:rFonts w:ascii="Times New Roman" w:hAnsi="Times New Roman" w:eastAsia="宋体" w:cs="Times New Roman"/>
      <w:szCs w:val="24"/>
    </w:rPr>
  </w:style>
  <w:style w:type="character" w:customStyle="1" w:styleId="50">
    <w:name w:val="纯文本 字符"/>
    <w:link w:val="13"/>
    <w:qFormat/>
    <w:uiPriority w:val="0"/>
    <w:rPr>
      <w:rFonts w:ascii="宋体" w:hAnsi="Courier New" w:eastAsia="宋体" w:cs="Times New Roman"/>
      <w:szCs w:val="24"/>
      <w:lang w:val="en-US" w:eastAsia="zh-CN"/>
    </w:rPr>
  </w:style>
  <w:style w:type="character" w:customStyle="1" w:styleId="51">
    <w:name w:val="日期 字符"/>
    <w:link w:val="15"/>
    <w:qFormat/>
    <w:uiPriority w:val="0"/>
    <w:rPr>
      <w:rFonts w:ascii="Times New Roman" w:hAnsi="Times New Roman" w:eastAsia="黑体" w:cs="Times New Roman"/>
      <w:sz w:val="24"/>
      <w:szCs w:val="20"/>
      <w:lang w:val="en-US" w:eastAsia="zh-CN"/>
    </w:rPr>
  </w:style>
  <w:style w:type="character" w:customStyle="1" w:styleId="52">
    <w:name w:val="正文文本缩进 2 字符"/>
    <w:link w:val="16"/>
    <w:qFormat/>
    <w:uiPriority w:val="0"/>
    <w:rPr>
      <w:rFonts w:ascii="Times New Roman" w:hAnsi="Times New Roman" w:eastAsia="宋体" w:cs="Times New Roman"/>
      <w:color w:val="FF0000"/>
      <w:sz w:val="18"/>
      <w:szCs w:val="24"/>
      <w:lang w:val="en-US" w:eastAsia="zh-CN"/>
    </w:rPr>
  </w:style>
  <w:style w:type="character" w:customStyle="1" w:styleId="53">
    <w:name w:val="批注框文本 字符"/>
    <w:link w:val="17"/>
    <w:qFormat/>
    <w:uiPriority w:val="0"/>
    <w:rPr>
      <w:rFonts w:ascii="Times New Roman" w:hAnsi="Times New Roman" w:eastAsia="宋体" w:cs="Times New Roman"/>
      <w:sz w:val="18"/>
      <w:szCs w:val="18"/>
    </w:rPr>
  </w:style>
  <w:style w:type="character" w:customStyle="1" w:styleId="54">
    <w:name w:val="页脚 字符"/>
    <w:link w:val="18"/>
    <w:qFormat/>
    <w:uiPriority w:val="99"/>
    <w:rPr>
      <w:rFonts w:ascii="Times New Roman" w:hAnsi="Times New Roman" w:eastAsia="宋体" w:cs="Times New Roman"/>
      <w:sz w:val="18"/>
      <w:szCs w:val="18"/>
    </w:rPr>
  </w:style>
  <w:style w:type="character" w:customStyle="1" w:styleId="55">
    <w:name w:val="页眉 字符"/>
    <w:link w:val="19"/>
    <w:qFormat/>
    <w:uiPriority w:val="0"/>
    <w:rPr>
      <w:rFonts w:ascii="Times New Roman" w:hAnsi="Times New Roman" w:eastAsia="宋体" w:cs="Times New Roman"/>
      <w:sz w:val="18"/>
      <w:szCs w:val="18"/>
    </w:rPr>
  </w:style>
  <w:style w:type="character" w:customStyle="1" w:styleId="56">
    <w:name w:val="脚注文本 字符"/>
    <w:link w:val="23"/>
    <w:qFormat/>
    <w:uiPriority w:val="0"/>
    <w:rPr>
      <w:rFonts w:ascii="宋体" w:hAnsi="Times New Roman" w:eastAsia="宋体" w:cs="Times New Roman"/>
      <w:kern w:val="0"/>
      <w:sz w:val="18"/>
      <w:szCs w:val="20"/>
    </w:rPr>
  </w:style>
  <w:style w:type="character" w:customStyle="1" w:styleId="57">
    <w:name w:val="正文文本缩进 3 字符"/>
    <w:link w:val="25"/>
    <w:qFormat/>
    <w:uiPriority w:val="0"/>
    <w:rPr>
      <w:rFonts w:ascii="Times New Roman" w:hAnsi="Times New Roman" w:eastAsia="宋体" w:cs="Times New Roman"/>
      <w:sz w:val="18"/>
      <w:szCs w:val="24"/>
      <w:lang w:val="en-US" w:eastAsia="zh-CN"/>
    </w:rPr>
  </w:style>
  <w:style w:type="character" w:customStyle="1" w:styleId="58">
    <w:name w:val="正文文本 2 字符"/>
    <w:link w:val="28"/>
    <w:qFormat/>
    <w:uiPriority w:val="0"/>
    <w:rPr>
      <w:rFonts w:ascii="Times New Roman" w:hAnsi="Times New Roman" w:eastAsia="华文中宋" w:cs="Times New Roman"/>
      <w:sz w:val="28"/>
      <w:szCs w:val="24"/>
    </w:rPr>
  </w:style>
  <w:style w:type="character" w:customStyle="1" w:styleId="59">
    <w:name w:val="HTML 预设格式 字符"/>
    <w:link w:val="29"/>
    <w:qFormat/>
    <w:uiPriority w:val="0"/>
    <w:rPr>
      <w:rFonts w:ascii="Courier New" w:hAnsi="Courier New" w:cs="Courier New"/>
    </w:rPr>
  </w:style>
  <w:style w:type="character" w:customStyle="1" w:styleId="60">
    <w:name w:val="批注主题 字符"/>
    <w:link w:val="31"/>
    <w:qFormat/>
    <w:uiPriority w:val="0"/>
    <w:rPr>
      <w:rFonts w:ascii="Times New Roman" w:hAnsi="Times New Roman"/>
      <w:b/>
      <w:bCs/>
      <w:szCs w:val="24"/>
    </w:rPr>
  </w:style>
  <w:style w:type="character" w:customStyle="1" w:styleId="61">
    <w:name w:val="正文首行缩进 字符"/>
    <w:link w:val="32"/>
    <w:qFormat/>
    <w:uiPriority w:val="0"/>
    <w:rPr>
      <w:rFonts w:ascii="Times New Roman" w:hAnsi="Times New Roman" w:eastAsia="楷体_GB2312" w:cs="Times New Roman"/>
      <w:sz w:val="24"/>
      <w:szCs w:val="24"/>
      <w:lang w:val="en-US" w:eastAsia="zh-CN"/>
    </w:rPr>
  </w:style>
  <w:style w:type="character" w:customStyle="1" w:styleId="62">
    <w:name w:val="文档结构图 Char"/>
    <w:link w:val="63"/>
    <w:qFormat/>
    <w:uiPriority w:val="0"/>
    <w:rPr>
      <w:rFonts w:ascii="宋体" w:hAnsi="Times New Roman" w:eastAsia="宋体" w:cs="Times New Roman"/>
      <w:sz w:val="18"/>
      <w:szCs w:val="18"/>
    </w:rPr>
  </w:style>
  <w:style w:type="paragraph" w:customStyle="1" w:styleId="63">
    <w:name w:val="文档结构图1"/>
    <w:basedOn w:val="1"/>
    <w:link w:val="62"/>
    <w:qFormat/>
    <w:uiPriority w:val="0"/>
    <w:rPr>
      <w:rFonts w:ascii="宋体"/>
      <w:kern w:val="0"/>
      <w:sz w:val="18"/>
      <w:szCs w:val="18"/>
    </w:rPr>
  </w:style>
  <w:style w:type="character" w:customStyle="1" w:styleId="64">
    <w:name w:val="正文文本 2 Char2"/>
    <w:basedOn w:val="36"/>
    <w:semiHidden/>
    <w:qFormat/>
    <w:uiPriority w:val="99"/>
  </w:style>
  <w:style w:type="character" w:customStyle="1" w:styleId="65">
    <w:name w:val="页眉 Char"/>
    <w:uiPriority w:val="99"/>
    <w:rPr>
      <w:lang w:eastAsia="zh-CN"/>
    </w:rPr>
  </w:style>
  <w:style w:type="character" w:customStyle="1" w:styleId="66">
    <w:name w:val="页眉 Char1"/>
    <w:qFormat/>
    <w:uiPriority w:val="0"/>
    <w:rPr>
      <w:rFonts w:ascii="Times New Roman" w:hAnsi="Times New Roman" w:eastAsia="宋体" w:cs="Times New Roman"/>
      <w:sz w:val="18"/>
      <w:szCs w:val="18"/>
    </w:rPr>
  </w:style>
  <w:style w:type="character" w:customStyle="1" w:styleId="67">
    <w:name w:val="批注框文本 Char2"/>
    <w:semiHidden/>
    <w:qFormat/>
    <w:uiPriority w:val="99"/>
    <w:rPr>
      <w:sz w:val="18"/>
      <w:szCs w:val="18"/>
    </w:rPr>
  </w:style>
  <w:style w:type="character" w:customStyle="1" w:styleId="68">
    <w:name w:val="正文文本 2 Char"/>
    <w:link w:val="69"/>
    <w:qFormat/>
    <w:uiPriority w:val="0"/>
    <w:rPr>
      <w:rFonts w:ascii="Times New Roman" w:hAnsi="Times New Roman" w:eastAsia="华文中宋" w:cs="Times New Roman"/>
      <w:sz w:val="28"/>
      <w:szCs w:val="24"/>
    </w:rPr>
  </w:style>
  <w:style w:type="paragraph" w:customStyle="1" w:styleId="69">
    <w:name w:val="正文文本 21"/>
    <w:basedOn w:val="1"/>
    <w:link w:val="68"/>
    <w:qFormat/>
    <w:uiPriority w:val="0"/>
    <w:pPr>
      <w:tabs>
        <w:tab w:val="left" w:pos="13860"/>
      </w:tabs>
      <w:spacing w:line="500" w:lineRule="exact"/>
    </w:pPr>
    <w:rPr>
      <w:rFonts w:eastAsia="华文中宋"/>
      <w:kern w:val="0"/>
      <w:sz w:val="28"/>
      <w:szCs w:val="24"/>
    </w:rPr>
  </w:style>
  <w:style w:type="character" w:customStyle="1" w:styleId="70">
    <w:name w:val="正文文本缩进 2 Char2"/>
    <w:basedOn w:val="36"/>
    <w:semiHidden/>
    <w:qFormat/>
    <w:uiPriority w:val="99"/>
  </w:style>
  <w:style w:type="character" w:customStyle="1" w:styleId="71">
    <w:name w:val="页码1"/>
    <w:basedOn w:val="36"/>
    <w:qFormat/>
    <w:uiPriority w:val="0"/>
  </w:style>
  <w:style w:type="character" w:customStyle="1" w:styleId="72">
    <w:name w:val="正文首行缩进 Char"/>
    <w:link w:val="73"/>
    <w:qFormat/>
    <w:uiPriority w:val="0"/>
    <w:rPr>
      <w:rFonts w:ascii="Times New Roman" w:hAnsi="Times New Roman" w:eastAsia="楷体_GB2312" w:cs="Times New Roman"/>
      <w:sz w:val="24"/>
      <w:szCs w:val="20"/>
    </w:rPr>
  </w:style>
  <w:style w:type="paragraph" w:customStyle="1" w:styleId="73">
    <w:name w:val="正文首行缩进1"/>
    <w:basedOn w:val="9"/>
    <w:link w:val="72"/>
    <w:qFormat/>
    <w:uiPriority w:val="0"/>
    <w:pPr>
      <w:ind w:firstLine="420"/>
    </w:pPr>
    <w:rPr>
      <w:rFonts w:eastAsia="楷体_GB2312"/>
      <w:kern w:val="0"/>
      <w:sz w:val="24"/>
      <w:szCs w:val="20"/>
    </w:rPr>
  </w:style>
  <w:style w:type="character" w:customStyle="1" w:styleId="74">
    <w:name w:val="脚注文本 Char2"/>
    <w:semiHidden/>
    <w:qFormat/>
    <w:uiPriority w:val="99"/>
    <w:rPr>
      <w:sz w:val="18"/>
      <w:szCs w:val="18"/>
    </w:rPr>
  </w:style>
  <w:style w:type="character" w:customStyle="1" w:styleId="75">
    <w:name w:val="content1"/>
    <w:qFormat/>
    <w:uiPriority w:val="0"/>
    <w:rPr>
      <w:spacing w:val="240"/>
      <w:sz w:val="21"/>
      <w:szCs w:val="21"/>
    </w:rPr>
  </w:style>
  <w:style w:type="character" w:customStyle="1" w:styleId="76">
    <w:name w:val="正文文本 Char"/>
    <w:qFormat/>
    <w:uiPriority w:val="0"/>
    <w:rPr>
      <w:rFonts w:ascii="Times New Roman" w:hAnsi="Times New Roman" w:eastAsia="宋体" w:cs="Times New Roman"/>
      <w:szCs w:val="24"/>
    </w:rPr>
  </w:style>
  <w:style w:type="character" w:customStyle="1" w:styleId="77">
    <w:name w:val="纯文本 Char2"/>
    <w:semiHidden/>
    <w:qFormat/>
    <w:uiPriority w:val="99"/>
    <w:rPr>
      <w:rFonts w:ascii="宋体" w:hAnsi="Courier New" w:eastAsia="宋体" w:cs="Courier New"/>
      <w:szCs w:val="21"/>
    </w:rPr>
  </w:style>
  <w:style w:type="character" w:customStyle="1" w:styleId="78">
    <w:name w:val="访问过的超链接1"/>
    <w:qFormat/>
    <w:uiPriority w:val="0"/>
    <w:rPr>
      <w:rFonts w:hint="default" w:ascii="Times New Roman"/>
      <w:color w:val="800080"/>
      <w:u w:val="single"/>
    </w:rPr>
  </w:style>
  <w:style w:type="character" w:customStyle="1" w:styleId="79">
    <w:name w:val="批注框文本 Char1"/>
    <w:qFormat/>
    <w:uiPriority w:val="0"/>
    <w:rPr>
      <w:rFonts w:ascii="Times New Roman" w:hAnsi="Times New Roman" w:eastAsia="宋体" w:cs="Times New Roman"/>
      <w:sz w:val="18"/>
      <w:szCs w:val="18"/>
    </w:rPr>
  </w:style>
  <w:style w:type="character" w:customStyle="1" w:styleId="80">
    <w:name w:val="正文文本缩进 Char"/>
    <w:link w:val="81"/>
    <w:qFormat/>
    <w:uiPriority w:val="0"/>
    <w:rPr>
      <w:rFonts w:ascii="Times New Roman" w:hAnsi="Times New Roman" w:eastAsia="宋体" w:cs="Times New Roman"/>
      <w:szCs w:val="24"/>
    </w:rPr>
  </w:style>
  <w:style w:type="paragraph" w:customStyle="1" w:styleId="81">
    <w:name w:val="正文文本缩进1"/>
    <w:basedOn w:val="1"/>
    <w:link w:val="80"/>
    <w:qFormat/>
    <w:uiPriority w:val="0"/>
    <w:pPr>
      <w:spacing w:after="120"/>
      <w:ind w:left="420" w:leftChars="200"/>
    </w:pPr>
    <w:rPr>
      <w:kern w:val="0"/>
      <w:sz w:val="20"/>
      <w:szCs w:val="24"/>
    </w:rPr>
  </w:style>
  <w:style w:type="character" w:customStyle="1" w:styleId="82">
    <w:name w:val="正文文本缩进 3 Char"/>
    <w:link w:val="83"/>
    <w:qFormat/>
    <w:uiPriority w:val="0"/>
    <w:rPr>
      <w:rFonts w:ascii="Times New Roman" w:hAnsi="Times New Roman" w:eastAsia="宋体" w:cs="Times New Roman"/>
      <w:sz w:val="18"/>
      <w:szCs w:val="24"/>
    </w:rPr>
  </w:style>
  <w:style w:type="paragraph" w:customStyle="1" w:styleId="83">
    <w:name w:val="正文文本缩进 31"/>
    <w:basedOn w:val="1"/>
    <w:link w:val="82"/>
    <w:qFormat/>
    <w:uiPriority w:val="0"/>
    <w:pPr>
      <w:spacing w:line="260" w:lineRule="exact"/>
      <w:ind w:firstLine="360"/>
    </w:pPr>
    <w:rPr>
      <w:kern w:val="0"/>
      <w:sz w:val="18"/>
      <w:szCs w:val="24"/>
    </w:rPr>
  </w:style>
  <w:style w:type="character" w:customStyle="1" w:styleId="84">
    <w:name w:val="正文文本 Char1"/>
    <w:qFormat/>
    <w:uiPriority w:val="0"/>
    <w:rPr>
      <w:rFonts w:ascii="Times New Roman"/>
      <w:sz w:val="24"/>
    </w:rPr>
  </w:style>
  <w:style w:type="character" w:customStyle="1" w:styleId="85">
    <w:name w:val="页眉 Char2"/>
    <w:semiHidden/>
    <w:qFormat/>
    <w:uiPriority w:val="99"/>
    <w:rPr>
      <w:sz w:val="18"/>
      <w:szCs w:val="18"/>
    </w:rPr>
  </w:style>
  <w:style w:type="character" w:customStyle="1" w:styleId="86">
    <w:name w:val="正文文本 Char2"/>
    <w:qFormat/>
    <w:uiPriority w:val="0"/>
    <w:rPr>
      <w:rFonts w:ascii="Times New Roman" w:hAnsi="Times New Roman" w:eastAsia="宋体" w:cs="Times New Roman"/>
      <w:szCs w:val="24"/>
    </w:rPr>
  </w:style>
  <w:style w:type="character" w:customStyle="1" w:styleId="87">
    <w:name w:val="Char Char4"/>
    <w:uiPriority w:val="0"/>
    <w:rPr>
      <w:rFonts w:eastAsia="仿宋_GB2312"/>
      <w:bCs/>
      <w:kern w:val="44"/>
      <w:sz w:val="18"/>
      <w:szCs w:val="18"/>
      <w:lang w:val="en-US" w:eastAsia="zh-CN" w:bidi="ar-SA"/>
    </w:rPr>
  </w:style>
  <w:style w:type="character" w:customStyle="1" w:styleId="88">
    <w:name w:val="批注主题 Char1"/>
    <w:semiHidden/>
    <w:qFormat/>
    <w:uiPriority w:val="99"/>
    <w:rPr>
      <w:rFonts w:ascii="Times New Roman" w:hAnsi="Times New Roman" w:eastAsia="宋体" w:cs="Times New Roman"/>
      <w:b/>
      <w:bCs/>
      <w:szCs w:val="20"/>
    </w:rPr>
  </w:style>
  <w:style w:type="character" w:customStyle="1" w:styleId="89">
    <w:name w:val="日期 Char2"/>
    <w:basedOn w:val="36"/>
    <w:semiHidden/>
    <w:qFormat/>
    <w:uiPriority w:val="99"/>
  </w:style>
  <w:style w:type="character" w:customStyle="1" w:styleId="90">
    <w:name w:val="页脚 Char1"/>
    <w:qFormat/>
    <w:uiPriority w:val="0"/>
    <w:rPr>
      <w:rFonts w:ascii="Times New Roman" w:hAnsi="Times New Roman" w:eastAsia="宋体" w:cs="Times New Roman"/>
      <w:sz w:val="18"/>
      <w:szCs w:val="18"/>
    </w:rPr>
  </w:style>
  <w:style w:type="character" w:customStyle="1" w:styleId="91">
    <w:name w:val="批注文字 Char1"/>
    <w:qFormat/>
    <w:uiPriority w:val="0"/>
    <w:rPr>
      <w:rFonts w:ascii="Times New Roman" w:hAnsi="Times New Roman" w:eastAsia="宋体" w:cs="Times New Roman"/>
      <w:szCs w:val="24"/>
    </w:rPr>
  </w:style>
  <w:style w:type="character" w:customStyle="1" w:styleId="92">
    <w:name w:val="正文文本缩进 3 Char2"/>
    <w:semiHidden/>
    <w:qFormat/>
    <w:uiPriority w:val="99"/>
    <w:rPr>
      <w:sz w:val="16"/>
      <w:szCs w:val="16"/>
    </w:rPr>
  </w:style>
  <w:style w:type="character" w:customStyle="1" w:styleId="93">
    <w:name w:val="页码2"/>
    <w:basedOn w:val="36"/>
    <w:qFormat/>
    <w:uiPriority w:val="0"/>
  </w:style>
  <w:style w:type="character" w:customStyle="1" w:styleId="94">
    <w:name w:val="apple-converted-space"/>
    <w:qFormat/>
    <w:uiPriority w:val="0"/>
  </w:style>
  <w:style w:type="character" w:customStyle="1" w:styleId="95">
    <w:name w:val="页脚 Char"/>
    <w:uiPriority w:val="99"/>
    <w:rPr>
      <w:lang w:eastAsia="zh-CN"/>
    </w:rPr>
  </w:style>
  <w:style w:type="character" w:customStyle="1" w:styleId="96">
    <w:name w:val="正文文本缩进 2 Char"/>
    <w:link w:val="97"/>
    <w:qFormat/>
    <w:uiPriority w:val="0"/>
    <w:rPr>
      <w:rFonts w:ascii="Times New Roman" w:hAnsi="Times New Roman" w:eastAsia="宋体" w:cs="Times New Roman"/>
      <w:szCs w:val="24"/>
    </w:rPr>
  </w:style>
  <w:style w:type="paragraph" w:customStyle="1" w:styleId="97">
    <w:name w:val="正文文本缩进 21"/>
    <w:basedOn w:val="1"/>
    <w:link w:val="96"/>
    <w:qFormat/>
    <w:uiPriority w:val="0"/>
    <w:pPr>
      <w:spacing w:after="120" w:line="480" w:lineRule="auto"/>
      <w:ind w:left="420" w:leftChars="200"/>
    </w:pPr>
    <w:rPr>
      <w:kern w:val="0"/>
      <w:sz w:val="20"/>
      <w:szCs w:val="24"/>
    </w:rPr>
  </w:style>
  <w:style w:type="character" w:customStyle="1" w:styleId="98">
    <w:name w:val="正文文本缩进 Char2"/>
    <w:basedOn w:val="36"/>
    <w:semiHidden/>
    <w:qFormat/>
    <w:uiPriority w:val="99"/>
  </w:style>
  <w:style w:type="character" w:customStyle="1" w:styleId="99">
    <w:name w:val="正文首行缩进 Char2"/>
    <w:basedOn w:val="48"/>
    <w:semiHidden/>
    <w:qFormat/>
    <w:uiPriority w:val="99"/>
  </w:style>
  <w:style w:type="character" w:customStyle="1" w:styleId="100">
    <w:name w:val="脚注文本 Char1"/>
    <w:qFormat/>
    <w:uiPriority w:val="0"/>
    <w:rPr>
      <w:rFonts w:ascii="Times New Roman" w:hAnsi="Times New Roman" w:eastAsia="宋体" w:cs="Times New Roman"/>
      <w:sz w:val="18"/>
      <w:szCs w:val="18"/>
    </w:rPr>
  </w:style>
  <w:style w:type="character" w:customStyle="1" w:styleId="101">
    <w:name w:val="日期 Char"/>
    <w:link w:val="102"/>
    <w:qFormat/>
    <w:uiPriority w:val="0"/>
    <w:rPr>
      <w:rFonts w:ascii="Times New Roman" w:hAnsi="Times New Roman" w:eastAsia="黑体" w:cs="Times New Roman"/>
      <w:sz w:val="24"/>
      <w:szCs w:val="20"/>
    </w:rPr>
  </w:style>
  <w:style w:type="paragraph" w:customStyle="1" w:styleId="102">
    <w:name w:val="日期1"/>
    <w:basedOn w:val="1"/>
    <w:next w:val="1"/>
    <w:link w:val="101"/>
    <w:qFormat/>
    <w:uiPriority w:val="0"/>
    <w:rPr>
      <w:rFonts w:eastAsia="黑体"/>
      <w:kern w:val="0"/>
      <w:sz w:val="24"/>
      <w:szCs w:val="20"/>
    </w:rPr>
  </w:style>
  <w:style w:type="character" w:customStyle="1" w:styleId="103">
    <w:name w:val="页脚 Char2"/>
    <w:semiHidden/>
    <w:qFormat/>
    <w:uiPriority w:val="99"/>
    <w:rPr>
      <w:sz w:val="18"/>
      <w:szCs w:val="18"/>
    </w:rPr>
  </w:style>
  <w:style w:type="character" w:customStyle="1" w:styleId="104">
    <w:name w:val="纯文本 Char"/>
    <w:link w:val="105"/>
    <w:qFormat/>
    <w:uiPriority w:val="0"/>
    <w:rPr>
      <w:rFonts w:ascii="宋体" w:hAnsi="Courier New" w:eastAsia="宋体" w:cs="Times New Roman"/>
      <w:szCs w:val="20"/>
    </w:rPr>
  </w:style>
  <w:style w:type="paragraph" w:customStyle="1" w:styleId="105">
    <w:name w:val="纯文本1"/>
    <w:basedOn w:val="1"/>
    <w:link w:val="104"/>
    <w:qFormat/>
    <w:uiPriority w:val="0"/>
    <w:rPr>
      <w:rFonts w:ascii="宋体" w:hAnsi="Courier New"/>
      <w:kern w:val="0"/>
      <w:sz w:val="20"/>
      <w:szCs w:val="20"/>
    </w:rPr>
  </w:style>
  <w:style w:type="character" w:customStyle="1" w:styleId="106">
    <w:name w:val="批注文字 Char2"/>
    <w:basedOn w:val="36"/>
    <w:semiHidden/>
    <w:qFormat/>
    <w:uiPriority w:val="99"/>
  </w:style>
  <w:style w:type="character" w:customStyle="1" w:styleId="107">
    <w:name w:val="HTML 预设格式 Char1"/>
    <w:semiHidden/>
    <w:qFormat/>
    <w:uiPriority w:val="99"/>
    <w:rPr>
      <w:rFonts w:ascii="Courier New" w:hAnsi="Courier New" w:cs="Courier New"/>
      <w:sz w:val="20"/>
      <w:szCs w:val="20"/>
    </w:rPr>
  </w:style>
  <w:style w:type="character" w:customStyle="1" w:styleId="108">
    <w:name w:val="访问过的超链接2"/>
    <w:qFormat/>
    <w:uiPriority w:val="0"/>
    <w:rPr>
      <w:rFonts w:hint="default" w:ascii="Times New Roman"/>
      <w:color w:val="800080"/>
      <w:u w:val="single"/>
    </w:rPr>
  </w:style>
  <w:style w:type="paragraph" w:customStyle="1" w:styleId="109">
    <w:name w:val="正文文本缩进 22"/>
    <w:basedOn w:val="1"/>
    <w:qFormat/>
    <w:uiPriority w:val="0"/>
    <w:pPr>
      <w:spacing w:after="120" w:line="480" w:lineRule="auto"/>
      <w:ind w:left="420" w:leftChars="200"/>
    </w:pPr>
    <w:rPr>
      <w:rFonts w:ascii="Times New Roman" w:hAnsi="Times New Roman" w:eastAsia="宋体" w:cs="Times New Roman"/>
      <w:kern w:val="0"/>
      <w:sz w:val="20"/>
      <w:szCs w:val="24"/>
    </w:rPr>
  </w:style>
  <w:style w:type="paragraph" w:customStyle="1" w:styleId="110">
    <w:name w:val="正文缩进21"/>
    <w:basedOn w:val="1"/>
    <w:qFormat/>
    <w:uiPriority w:val="0"/>
    <w:pPr>
      <w:ind w:firstLine="420" w:firstLineChars="200"/>
    </w:pPr>
    <w:rPr>
      <w:rFonts w:ascii="Times New Roman" w:hAnsi="Times New Roman" w:eastAsia="宋体" w:cs="Times New Roman"/>
      <w:szCs w:val="24"/>
    </w:rPr>
  </w:style>
  <w:style w:type="paragraph" w:customStyle="1" w:styleId="111">
    <w:name w:val="批注框文本1"/>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12">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customStyle="1" w:styleId="113">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cs="Times New Roman"/>
      <w:kern w:val="0"/>
      <w:sz w:val="18"/>
      <w:szCs w:val="18"/>
    </w:rPr>
  </w:style>
  <w:style w:type="paragraph" w:customStyle="1" w:styleId="114">
    <w:name w:val="Char2"/>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15">
    <w:name w:val="列表1"/>
    <w:basedOn w:val="1"/>
    <w:qFormat/>
    <w:uiPriority w:val="0"/>
    <w:pPr>
      <w:ind w:left="420" w:hanging="420"/>
    </w:pPr>
    <w:rPr>
      <w:rFonts w:hint="eastAsia" w:ascii="Times New Roman" w:hAnsi="Times New Roman" w:eastAsia="楷体_GB2312" w:cs="Times New Roman"/>
      <w:sz w:val="24"/>
      <w:szCs w:val="24"/>
    </w:rPr>
  </w:style>
  <w:style w:type="paragraph" w:customStyle="1" w:styleId="116">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17">
    <w:name w:val="WPSOffice手动目录 2"/>
    <w:qFormat/>
    <w:uiPriority w:val="0"/>
    <w:pPr>
      <w:ind w:leftChars="200"/>
    </w:pPr>
    <w:rPr>
      <w:lang w:val="en-US" w:eastAsia="zh-CN" w:bidi="ar-SA"/>
    </w:rPr>
  </w:style>
  <w:style w:type="paragraph" w:customStyle="1" w:styleId="118">
    <w:name w:val="p16"/>
    <w:basedOn w:val="1"/>
    <w:qFormat/>
    <w:uiPriority w:val="0"/>
    <w:pPr>
      <w:widowControl/>
      <w:spacing w:line="280" w:lineRule="atLeast"/>
      <w:ind w:firstLine="360"/>
    </w:pPr>
    <w:rPr>
      <w:rFonts w:ascii="Times New Roman" w:hAnsi="Times New Roman" w:eastAsia="宋体" w:cs="Times New Roman"/>
      <w:color w:val="000000"/>
      <w:kern w:val="0"/>
      <w:sz w:val="18"/>
      <w:szCs w:val="18"/>
    </w:rPr>
  </w:style>
  <w:style w:type="paragraph" w:customStyle="1" w:styleId="119">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21">
    <w:name w:val="Char"/>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22">
    <w:name w:val="正文文本 22"/>
    <w:basedOn w:val="1"/>
    <w:qFormat/>
    <w:uiPriority w:val="0"/>
    <w:pPr>
      <w:tabs>
        <w:tab w:val="left" w:pos="13860"/>
      </w:tabs>
      <w:spacing w:line="500" w:lineRule="exact"/>
    </w:pPr>
    <w:rPr>
      <w:rFonts w:ascii="Times New Roman" w:hAnsi="Times New Roman" w:eastAsia="华文中宋" w:cs="Times New Roman"/>
      <w:kern w:val="0"/>
      <w:sz w:val="28"/>
      <w:szCs w:val="24"/>
    </w:rPr>
  </w:style>
  <w:style w:type="paragraph" w:customStyle="1" w:styleId="123">
    <w:name w:val="TOC 标题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4">
    <w:name w:val="TOC 标题2"/>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5">
    <w:name w:val="WPSOffice手动目录 3"/>
    <w:qFormat/>
    <w:uiPriority w:val="0"/>
    <w:pPr>
      <w:ind w:leftChars="400"/>
    </w:pPr>
    <w:rPr>
      <w:lang w:val="en-US" w:eastAsia="zh-CN" w:bidi="ar-SA"/>
    </w:rPr>
  </w:style>
  <w:style w:type="paragraph" w:customStyle="1" w:styleId="126">
    <w:name w:val="修订1"/>
    <w:qFormat/>
    <w:uiPriority w:val="99"/>
    <w:rPr>
      <w:kern w:val="2"/>
      <w:sz w:val="21"/>
      <w:szCs w:val="24"/>
      <w:lang w:val="en-US" w:eastAsia="zh-CN" w:bidi="ar-SA"/>
    </w:rPr>
  </w:style>
  <w:style w:type="paragraph" w:customStyle="1" w:styleId="127">
    <w:name w:val="正文缩进1"/>
    <w:basedOn w:val="1"/>
    <w:qFormat/>
    <w:uiPriority w:val="0"/>
    <w:pPr>
      <w:ind w:firstLine="420" w:firstLineChars="200"/>
    </w:pPr>
    <w:rPr>
      <w:rFonts w:ascii="Times New Roman" w:hAnsi="Times New Roman" w:eastAsia="宋体" w:cs="Times New Roman"/>
      <w:szCs w:val="24"/>
    </w:rPr>
  </w:style>
  <w:style w:type="paragraph" w:customStyle="1" w:styleId="128">
    <w:name w:val="p15"/>
    <w:basedOn w:val="1"/>
    <w:qFormat/>
    <w:uiPriority w:val="0"/>
    <w:pPr>
      <w:widowControl/>
      <w:spacing w:line="280" w:lineRule="atLeast"/>
      <w:ind w:firstLine="360"/>
    </w:pPr>
    <w:rPr>
      <w:rFonts w:ascii="Times New Roman" w:hAnsi="Times New Roman" w:eastAsia="宋体" w:cs="Times New Roman"/>
      <w:color w:val="FF0000"/>
      <w:kern w:val="0"/>
      <w:sz w:val="18"/>
      <w:szCs w:val="18"/>
    </w:rPr>
  </w:style>
  <w:style w:type="paragraph" w:customStyle="1" w:styleId="129">
    <w:name w:val="item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正文文本缩进2"/>
    <w:basedOn w:val="1"/>
    <w:qFormat/>
    <w:uiPriority w:val="0"/>
    <w:pPr>
      <w:spacing w:after="120"/>
      <w:ind w:left="420" w:leftChars="200"/>
    </w:pPr>
    <w:rPr>
      <w:rFonts w:ascii="Times New Roman" w:hAnsi="Times New Roman" w:eastAsia="宋体" w:cs="Times New Roman"/>
      <w:kern w:val="0"/>
      <w:sz w:val="20"/>
      <w:szCs w:val="24"/>
    </w:rPr>
  </w:style>
  <w:style w:type="paragraph" w:customStyle="1" w:styleId="131">
    <w:name w:val="批注框文本2"/>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32">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3">
    <w:name w:val="局发文正文"/>
    <w:basedOn w:val="1"/>
    <w:qFormat/>
    <w:uiPriority w:val="0"/>
    <w:pPr>
      <w:adjustRightInd w:val="0"/>
      <w:spacing w:line="600" w:lineRule="atLeast"/>
      <w:ind w:firstLine="200" w:firstLineChars="200"/>
    </w:pPr>
    <w:rPr>
      <w:rFonts w:hint="eastAsia" w:ascii="仿宋_GB2312" w:hAnsi="Times New Roman" w:eastAsia="仿宋_GB2312" w:cs="Times New Roman"/>
      <w:caps/>
      <w:spacing w:val="6"/>
      <w:kern w:val="0"/>
      <w:sz w:val="30"/>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5">
    <w:name w:val="WPSOffice手动目录 1"/>
    <w:qFormat/>
    <w:uiPriority w:val="0"/>
    <w:rPr>
      <w:lang w:val="en-US" w:eastAsia="zh-CN" w:bidi="ar-SA"/>
    </w:rPr>
  </w:style>
  <w:style w:type="paragraph" w:customStyle="1" w:styleId="136">
    <w:name w:val="日期2"/>
    <w:basedOn w:val="1"/>
    <w:next w:val="1"/>
    <w:qFormat/>
    <w:uiPriority w:val="0"/>
    <w:rPr>
      <w:rFonts w:ascii="Times New Roman" w:hAnsi="Times New Roman" w:eastAsia="黑体" w:cs="Times New Roman"/>
      <w:kern w:val="0"/>
      <w:sz w:val="24"/>
      <w:szCs w:val="20"/>
    </w:rPr>
  </w:style>
  <w:style w:type="paragraph" w:customStyle="1" w:styleId="137">
    <w:name w:val="Char Char Char Char Char Char Char Char Char2"/>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138">
    <w:name w:val="列表2"/>
    <w:basedOn w:val="1"/>
    <w:qFormat/>
    <w:uiPriority w:val="0"/>
    <w:pPr>
      <w:ind w:left="420" w:hanging="420"/>
    </w:pPr>
    <w:rPr>
      <w:rFonts w:hint="eastAsia" w:ascii="Times New Roman" w:hAnsi="Times New Roman" w:eastAsia="楷体_GB2312" w:cs="Times New Roman"/>
      <w:sz w:val="24"/>
      <w:szCs w:val="24"/>
    </w:rPr>
  </w:style>
  <w:style w:type="paragraph" w:customStyle="1" w:styleId="139">
    <w:name w:val="Table Paragraph"/>
    <w:basedOn w:val="1"/>
    <w:qFormat/>
    <w:uiPriority w:val="0"/>
    <w:pPr>
      <w:autoSpaceDE w:val="0"/>
      <w:autoSpaceDN w:val="0"/>
      <w:adjustRightInd w:val="0"/>
      <w:jc w:val="left"/>
    </w:pPr>
    <w:rPr>
      <w:kern w:val="0"/>
      <w:sz w:val="24"/>
    </w:rPr>
  </w:style>
  <w:style w:type="paragraph" w:customStyle="1" w:styleId="140">
    <w:name w:val="正文文本缩进 32"/>
    <w:basedOn w:val="1"/>
    <w:qFormat/>
    <w:uiPriority w:val="0"/>
    <w:pPr>
      <w:spacing w:line="260" w:lineRule="exact"/>
      <w:ind w:firstLine="360"/>
    </w:pPr>
    <w:rPr>
      <w:rFonts w:ascii="Times New Roman" w:hAnsi="Times New Roman" w:eastAsia="宋体" w:cs="Times New Roman"/>
      <w:kern w:val="0"/>
      <w:sz w:val="18"/>
      <w:szCs w:val="24"/>
    </w:rPr>
  </w:style>
  <w:style w:type="paragraph" w:customStyle="1" w:styleId="141">
    <w:name w:val="正文缩进2"/>
    <w:basedOn w:val="1"/>
    <w:qFormat/>
    <w:uiPriority w:val="0"/>
    <w:pPr>
      <w:ind w:firstLine="420" w:firstLineChars="200"/>
    </w:pPr>
    <w:rPr>
      <w:rFonts w:ascii="Times New Roman" w:hAnsi="Times New Roman" w:eastAsia="宋体" w:cs="Times New Roman"/>
      <w:szCs w:val="24"/>
    </w:rPr>
  </w:style>
  <w:style w:type="paragraph" w:customStyle="1" w:styleId="142">
    <w:name w:val="纯文本2"/>
    <w:basedOn w:val="1"/>
    <w:qFormat/>
    <w:uiPriority w:val="0"/>
    <w:rPr>
      <w:rFonts w:ascii="宋体" w:hAnsi="Courier New" w:eastAsia="宋体" w:cs="Times New Roman"/>
      <w:kern w:val="0"/>
      <w:sz w:val="20"/>
      <w:szCs w:val="20"/>
    </w:rPr>
  </w:style>
  <w:style w:type="paragraph" w:customStyle="1" w:styleId="143">
    <w:name w:val="普通(网站)2"/>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4">
    <w:name w:val="文档结构图2"/>
    <w:basedOn w:val="1"/>
    <w:qFormat/>
    <w:uiPriority w:val="0"/>
    <w:rPr>
      <w:rFonts w:ascii="宋体" w:hAnsi="Times New Roman" w:eastAsia="宋体" w:cs="Times New Roman"/>
      <w:kern w:val="0"/>
      <w:sz w:val="18"/>
      <w:szCs w:val="18"/>
    </w:rPr>
  </w:style>
  <w:style w:type="paragraph" w:customStyle="1" w:styleId="145">
    <w:name w:val="正文首行缩进2"/>
    <w:basedOn w:val="9"/>
    <w:qFormat/>
    <w:uiPriority w:val="0"/>
    <w:pPr>
      <w:ind w:firstLine="420"/>
    </w:pPr>
    <w:rPr>
      <w:rFonts w:ascii="Times New Roman" w:hAnsi="Times New Roman" w:eastAsia="楷体_GB2312" w:cs="Times New Roman"/>
      <w:kern w:val="0"/>
      <w:sz w:val="24"/>
      <w:szCs w:val="20"/>
    </w:rPr>
  </w:style>
  <w:style w:type="paragraph" w:customStyle="1" w:styleId="146">
    <w:name w:val="p0"/>
    <w:basedOn w:val="1"/>
    <w:qFormat/>
    <w:uiPriority w:val="0"/>
    <w:pPr>
      <w:widowControl/>
    </w:pPr>
    <w:rPr>
      <w:rFonts w:ascii="Times New Roman" w:hAnsi="Times New Roman" w:eastAsia="宋体" w:cs="Times New Roman"/>
      <w:kern w:val="0"/>
      <w:szCs w:val="21"/>
    </w:rPr>
  </w:style>
  <w:style w:type="paragraph" w:customStyle="1" w:styleId="147">
    <w:name w:val="TOC 标题21"/>
    <w:basedOn w:val="2"/>
    <w:next w:val="1"/>
    <w:qFormat/>
    <w:uiPriority w:val="0"/>
    <w:pPr>
      <w:keepNext/>
      <w:keepLines/>
      <w:widowControl/>
      <w:spacing w:before="480" w:line="276" w:lineRule="auto"/>
      <w:jc w:val="left"/>
      <w:outlineLvl w:val="9"/>
    </w:pPr>
    <w:rPr>
      <w:rFonts w:ascii="Cambria" w:hAnsi="Cambria" w:eastAsia="黑体"/>
      <w:bCs/>
      <w:color w:val="365F91"/>
      <w:kern w:val="0"/>
      <w:sz w:val="28"/>
      <w:szCs w:val="28"/>
    </w:rPr>
  </w:style>
  <w:style w:type="paragraph" w:customStyle="1" w:styleId="148">
    <w:name w:val="_Style 9"/>
    <w:basedOn w:val="1"/>
    <w:qFormat/>
    <w:uiPriority w:val="0"/>
    <w:pPr>
      <w:numPr>
        <w:ilvl w:val="0"/>
        <w:numId w:val="2"/>
      </w:numPr>
    </w:pPr>
    <w:rPr>
      <w:rFonts w:ascii="Times New Roman" w:hAnsi="Times New Roman" w:eastAsia="宋体" w:cs="Times New Roman"/>
      <w:szCs w:val="24"/>
    </w:rPr>
  </w:style>
  <w:style w:type="paragraph" w:customStyle="1" w:styleId="149">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6096</Words>
  <Characters>6594</Characters>
  <Lines>792</Lines>
  <Paragraphs>223</Paragraphs>
  <TotalTime>47</TotalTime>
  <ScaleCrop>false</ScaleCrop>
  <LinksUpToDate>false</LinksUpToDate>
  <CharactersWithSpaces>6719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2018-12-12T17:52:00Z</dcterms:created>
  <dc:creator>Chenglh</dc:creator>
  <cp:lastModifiedBy>xuanpc</cp:lastModifiedBy>
  <cp:lastPrinted>2024-12-23T01:45:49Z</cp:lastPrinted>
  <dcterms:modified xsi:type="dcterms:W3CDTF">2025-01-03T10:31:54Z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23635FAEC9DA476A9CD07C0786A8A61D_13</vt:lpwstr>
  </property>
  <property fmtid="{D5CDD505-2E9C-101B-9397-08002B2CF9AE}" pid="4" name="KSOTemplateDocerSaveRecord">
    <vt:lpwstr>eyJoZGlkIjoiNDc0OTU1YWQ0YmIwMDQ4N2VjNTE4ODQ5MzkyNjQ0ODYifQ==</vt:lpwstr>
  </property>
</Properties>
</file>